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43F" w:rsidRDefault="0068743F" w:rsidP="003258B5">
      <w:pPr>
        <w:widowControl w:val="0"/>
        <w:autoSpaceDE w:val="0"/>
        <w:autoSpaceDN w:val="0"/>
        <w:adjustRightInd w:val="0"/>
        <w:spacing w:line="255" w:lineRule="atLeast"/>
        <w:jc w:val="both"/>
        <w:rPr>
          <w:color w:val="000000"/>
          <w:sz w:val="22"/>
          <w:szCs w:val="22"/>
        </w:rPr>
      </w:pPr>
      <w:bookmarkStart w:id="0" w:name="_GoBack"/>
      <w:bookmarkEnd w:id="0"/>
    </w:p>
    <w:p w:rsidR="00270F62" w:rsidRDefault="003258B5" w:rsidP="003258B5">
      <w:pPr>
        <w:widowControl w:val="0"/>
        <w:autoSpaceDE w:val="0"/>
        <w:autoSpaceDN w:val="0"/>
        <w:adjustRightInd w:val="0"/>
        <w:spacing w:line="255" w:lineRule="atLeast"/>
        <w:jc w:val="both"/>
        <w:rPr>
          <w:color w:val="000000"/>
          <w:sz w:val="22"/>
          <w:szCs w:val="22"/>
          <w:lang w:val="sr-Cyrl-CS"/>
        </w:rPr>
      </w:pPr>
      <w:r>
        <w:rPr>
          <w:color w:val="000000"/>
          <w:sz w:val="22"/>
          <w:szCs w:val="22"/>
        </w:rPr>
        <w:t>На основу Решења о банкротству који је донео стечајни судија Привредног суда у Чачку</w:t>
      </w:r>
      <w:r w:rsidR="00FC259B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број   </w:t>
      </w:r>
      <w:r w:rsidR="005974FE">
        <w:rPr>
          <w:color w:val="000000"/>
          <w:sz w:val="22"/>
          <w:szCs w:val="22"/>
        </w:rPr>
        <w:t>Ст</w:t>
      </w:r>
      <w:r w:rsidR="003F6D86">
        <w:rPr>
          <w:color w:val="000000"/>
          <w:sz w:val="22"/>
          <w:szCs w:val="22"/>
        </w:rPr>
        <w:t>.</w:t>
      </w:r>
      <w:r w:rsidR="005974FE">
        <w:rPr>
          <w:color w:val="000000"/>
          <w:sz w:val="22"/>
          <w:szCs w:val="22"/>
        </w:rPr>
        <w:t xml:space="preserve"> 1</w:t>
      </w:r>
      <w:r w:rsidR="00270F62">
        <w:rPr>
          <w:color w:val="000000"/>
          <w:sz w:val="22"/>
          <w:szCs w:val="22"/>
        </w:rPr>
        <w:t>3</w:t>
      </w:r>
      <w:r w:rsidR="005974FE">
        <w:rPr>
          <w:color w:val="000000"/>
          <w:sz w:val="22"/>
          <w:szCs w:val="22"/>
        </w:rPr>
        <w:t xml:space="preserve">/2016 </w:t>
      </w:r>
      <w:r w:rsidR="003F6D86">
        <w:rPr>
          <w:color w:val="000000"/>
          <w:sz w:val="22"/>
          <w:szCs w:val="22"/>
        </w:rPr>
        <w:t>од</w:t>
      </w:r>
      <w:r w:rsidR="005974FE">
        <w:rPr>
          <w:color w:val="000000"/>
          <w:sz w:val="22"/>
          <w:szCs w:val="22"/>
        </w:rPr>
        <w:t>21.</w:t>
      </w:r>
      <w:r w:rsidR="00270F62">
        <w:rPr>
          <w:color w:val="000000"/>
          <w:sz w:val="22"/>
          <w:szCs w:val="22"/>
        </w:rPr>
        <w:t>0</w:t>
      </w:r>
      <w:r w:rsidR="005974FE">
        <w:rPr>
          <w:color w:val="000000"/>
          <w:sz w:val="22"/>
          <w:szCs w:val="22"/>
        </w:rPr>
        <w:t>9.2016.</w:t>
      </w:r>
      <w:r>
        <w:rPr>
          <w:color w:val="000000"/>
          <w:sz w:val="22"/>
          <w:szCs w:val="22"/>
        </w:rPr>
        <w:t xml:space="preserve"> годи</w:t>
      </w:r>
      <w:r w:rsidR="00816D67">
        <w:rPr>
          <w:color w:val="000000"/>
          <w:sz w:val="22"/>
          <w:szCs w:val="22"/>
        </w:rPr>
        <w:t>не, а у складу са чланoвима 131</w:t>
      </w:r>
      <w:r>
        <w:rPr>
          <w:color w:val="000000"/>
          <w:sz w:val="22"/>
          <w:szCs w:val="22"/>
        </w:rPr>
        <w:t>, 132. и 133. Закона о стечају («Службени гласник  Републике Србије» број 104/09</w:t>
      </w:r>
      <w:r w:rsidR="00270F62">
        <w:rPr>
          <w:color w:val="000000"/>
          <w:sz w:val="22"/>
          <w:szCs w:val="22"/>
        </w:rPr>
        <w:t>, 99/2011, 71/2012</w:t>
      </w:r>
      <w:r>
        <w:rPr>
          <w:color w:val="000000"/>
          <w:sz w:val="22"/>
          <w:szCs w:val="22"/>
        </w:rPr>
        <w:t>) и Националним стандардом број 5 – Национални стандард о начину и поступку уновчења имовине стечајног дужника («Службени  гласник Републике Србије» број 13/2010)</w:t>
      </w:r>
      <w:r w:rsidR="00270F62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стечајни управник стечајног дужника</w:t>
      </w:r>
    </w:p>
    <w:p w:rsidR="00270F62" w:rsidRDefault="00270F62" w:rsidP="003258B5">
      <w:pPr>
        <w:widowControl w:val="0"/>
        <w:autoSpaceDE w:val="0"/>
        <w:autoSpaceDN w:val="0"/>
        <w:adjustRightInd w:val="0"/>
        <w:spacing w:line="255" w:lineRule="atLeast"/>
        <w:jc w:val="both"/>
        <w:rPr>
          <w:color w:val="000000"/>
          <w:sz w:val="22"/>
          <w:szCs w:val="22"/>
        </w:rPr>
      </w:pPr>
    </w:p>
    <w:p w:rsidR="003258B5" w:rsidRPr="00270F62" w:rsidRDefault="00270F62" w:rsidP="003258B5">
      <w:pPr>
        <w:widowControl w:val="0"/>
        <w:autoSpaceDE w:val="0"/>
        <w:autoSpaceDN w:val="0"/>
        <w:adjustRightInd w:val="0"/>
        <w:spacing w:line="255" w:lineRule="atLeast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Милан Благојевић МИНЕРВА доо Лучани, у стечају, </w:t>
      </w:r>
      <w:r w:rsidR="003258B5" w:rsidRPr="00270F62">
        <w:rPr>
          <w:b/>
          <w:color w:val="000000"/>
          <w:sz w:val="28"/>
          <w:szCs w:val="28"/>
        </w:rPr>
        <w:t>Радничка бб</w:t>
      </w:r>
    </w:p>
    <w:p w:rsidR="00270F62" w:rsidRDefault="003258B5" w:rsidP="003258B5">
      <w:pPr>
        <w:widowControl w:val="0"/>
        <w:autoSpaceDE w:val="0"/>
        <w:autoSpaceDN w:val="0"/>
        <w:adjustRightInd w:val="0"/>
        <w:spacing w:line="255" w:lineRule="atLeast"/>
        <w:jc w:val="center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  <w:r>
        <w:rPr>
          <w:b/>
          <w:bCs/>
          <w:color w:val="000000"/>
          <w:sz w:val="22"/>
          <w:szCs w:val="22"/>
        </w:rPr>
        <w:t>ОГЛАШАВА</w:t>
      </w:r>
    </w:p>
    <w:p w:rsidR="00AF101E" w:rsidRPr="00AF101E" w:rsidRDefault="00AF101E" w:rsidP="003258B5">
      <w:pPr>
        <w:widowControl w:val="0"/>
        <w:autoSpaceDE w:val="0"/>
        <w:autoSpaceDN w:val="0"/>
        <w:adjustRightInd w:val="0"/>
        <w:spacing w:line="255" w:lineRule="atLeast"/>
        <w:jc w:val="center"/>
        <w:rPr>
          <w:b/>
          <w:bCs/>
          <w:color w:val="000000"/>
          <w:sz w:val="22"/>
          <w:szCs w:val="22"/>
        </w:rPr>
      </w:pPr>
    </w:p>
    <w:p w:rsidR="003258B5" w:rsidRDefault="00816D67" w:rsidP="00270F62">
      <w:pPr>
        <w:widowControl w:val="0"/>
        <w:autoSpaceDE w:val="0"/>
        <w:autoSpaceDN w:val="0"/>
        <w:adjustRightInd w:val="0"/>
        <w:spacing w:line="255" w:lineRule="atLeast"/>
        <w:jc w:val="center"/>
        <w:rPr>
          <w:b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lang w:val="sr-Cyrl-CS"/>
        </w:rPr>
        <w:t>ДРУГУ ПРОДАЈУ</w:t>
      </w:r>
      <w:r w:rsidR="00AD40B7">
        <w:rPr>
          <w:b/>
          <w:bCs/>
          <w:color w:val="000000"/>
          <w:sz w:val="22"/>
          <w:szCs w:val="22"/>
        </w:rPr>
        <w:t xml:space="preserve"> </w:t>
      </w:r>
      <w:r w:rsidR="003258B5" w:rsidRPr="00270F62">
        <w:rPr>
          <w:b/>
          <w:bCs/>
          <w:color w:val="000000"/>
          <w:sz w:val="22"/>
          <w:szCs w:val="22"/>
          <w:lang w:val="sr-Cyrl-CS"/>
        </w:rPr>
        <w:t>имовине стечајног</w:t>
      </w:r>
      <w:r w:rsidR="00AD40B7">
        <w:rPr>
          <w:b/>
          <w:bCs/>
          <w:color w:val="000000"/>
          <w:sz w:val="22"/>
          <w:szCs w:val="22"/>
        </w:rPr>
        <w:t xml:space="preserve"> дужника</w:t>
      </w:r>
      <w:r w:rsidR="00270F62">
        <w:rPr>
          <w:b/>
          <w:bCs/>
          <w:color w:val="000000"/>
          <w:sz w:val="22"/>
          <w:szCs w:val="22"/>
          <w:lang w:val="sr-Cyrl-CS"/>
        </w:rPr>
        <w:t xml:space="preserve">, </w:t>
      </w:r>
      <w:r w:rsidR="00FC259B">
        <w:rPr>
          <w:b/>
          <w:color w:val="000000"/>
          <w:sz w:val="22"/>
          <w:szCs w:val="22"/>
        </w:rPr>
        <w:t>методом j</w:t>
      </w:r>
      <w:r w:rsidR="00201A83" w:rsidRPr="00270F62">
        <w:rPr>
          <w:b/>
          <w:color w:val="000000"/>
          <w:sz w:val="22"/>
          <w:szCs w:val="22"/>
        </w:rPr>
        <w:t>авног надметања</w:t>
      </w:r>
    </w:p>
    <w:p w:rsidR="00270F62" w:rsidRDefault="00270F62" w:rsidP="00270F62">
      <w:pPr>
        <w:widowControl w:val="0"/>
        <w:autoSpaceDE w:val="0"/>
        <w:autoSpaceDN w:val="0"/>
        <w:adjustRightInd w:val="0"/>
        <w:spacing w:line="255" w:lineRule="atLeast"/>
        <w:jc w:val="both"/>
        <w:rPr>
          <w:b/>
          <w:color w:val="000000"/>
          <w:sz w:val="22"/>
          <w:szCs w:val="22"/>
        </w:rPr>
      </w:pPr>
    </w:p>
    <w:p w:rsidR="00270F62" w:rsidRPr="00270F62" w:rsidRDefault="00270F62" w:rsidP="00270F62">
      <w:pPr>
        <w:widowControl w:val="0"/>
        <w:autoSpaceDE w:val="0"/>
        <w:autoSpaceDN w:val="0"/>
        <w:adjustRightInd w:val="0"/>
        <w:spacing w:line="255" w:lineRule="atLeast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Предмет продаје </w:t>
      </w:r>
      <w:r w:rsidR="00E06889">
        <w:rPr>
          <w:b/>
          <w:color w:val="000000"/>
          <w:sz w:val="22"/>
          <w:szCs w:val="22"/>
        </w:rPr>
        <w:t xml:space="preserve">је непокретна и покретна </w:t>
      </w:r>
      <w:r>
        <w:rPr>
          <w:b/>
          <w:color w:val="000000"/>
          <w:sz w:val="22"/>
          <w:szCs w:val="22"/>
        </w:rPr>
        <w:t xml:space="preserve">имовина стечајног дужника, груписана у </w:t>
      </w:r>
      <w:r w:rsidR="00AD40B7">
        <w:rPr>
          <w:b/>
          <w:color w:val="000000"/>
          <w:sz w:val="22"/>
          <w:szCs w:val="22"/>
        </w:rPr>
        <w:t>4 целине</w:t>
      </w:r>
      <w:r>
        <w:rPr>
          <w:b/>
          <w:color w:val="000000"/>
          <w:sz w:val="22"/>
          <w:szCs w:val="22"/>
        </w:rPr>
        <w:t>, и то.</w:t>
      </w:r>
    </w:p>
    <w:p w:rsidR="00BB2784" w:rsidRPr="00AF101E" w:rsidRDefault="00BB2784" w:rsidP="00BB2784">
      <w:pPr>
        <w:widowControl w:val="0"/>
        <w:autoSpaceDE w:val="0"/>
        <w:autoSpaceDN w:val="0"/>
        <w:adjustRightInd w:val="0"/>
        <w:spacing w:line="255" w:lineRule="atLeast"/>
        <w:jc w:val="both"/>
        <w:rPr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961"/>
        <w:gridCol w:w="1748"/>
        <w:gridCol w:w="1543"/>
      </w:tblGrid>
      <w:tr w:rsidR="003258B5" w:rsidRPr="00C865CD" w:rsidTr="004A2B6B">
        <w:tc>
          <w:tcPr>
            <w:tcW w:w="959" w:type="dxa"/>
          </w:tcPr>
          <w:p w:rsidR="003258B5" w:rsidRPr="00C865CD" w:rsidRDefault="003258B5" w:rsidP="005E527B">
            <w:pPr>
              <w:widowControl w:val="0"/>
              <w:autoSpaceDE w:val="0"/>
              <w:autoSpaceDN w:val="0"/>
              <w:adjustRightInd w:val="0"/>
              <w:spacing w:line="255" w:lineRule="atLeast"/>
              <w:jc w:val="center"/>
              <w:rPr>
                <w:color w:val="000000"/>
                <w:lang w:val="sr-Cyrl-C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CS"/>
              </w:rPr>
              <w:t>р</w:t>
            </w:r>
            <w:r w:rsidRPr="00C865CD">
              <w:rPr>
                <w:b/>
                <w:bCs/>
                <w:color w:val="000000"/>
                <w:sz w:val="22"/>
                <w:szCs w:val="22"/>
              </w:rPr>
              <w:t>едни</w:t>
            </w:r>
            <w:r w:rsidRPr="00C865CD">
              <w:rPr>
                <w:b/>
                <w:bCs/>
                <w:color w:val="000000"/>
                <w:sz w:val="22"/>
                <w:szCs w:val="22"/>
              </w:rPr>
              <w:br/>
              <w:t>број</w:t>
            </w:r>
            <w:r w:rsidRPr="00C865CD"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C865CD">
              <w:rPr>
                <w:b/>
                <w:color w:val="000000"/>
                <w:sz w:val="22"/>
                <w:szCs w:val="22"/>
                <w:lang w:val="sr-Cyrl-CS"/>
              </w:rPr>
              <w:t>целине</w:t>
            </w:r>
          </w:p>
        </w:tc>
        <w:tc>
          <w:tcPr>
            <w:tcW w:w="4961" w:type="dxa"/>
          </w:tcPr>
          <w:p w:rsidR="003258B5" w:rsidRPr="00C865CD" w:rsidRDefault="003258B5" w:rsidP="005E527B">
            <w:pPr>
              <w:widowControl w:val="0"/>
              <w:autoSpaceDE w:val="0"/>
              <w:autoSpaceDN w:val="0"/>
              <w:adjustRightInd w:val="0"/>
              <w:spacing w:line="255" w:lineRule="atLeast"/>
              <w:jc w:val="center"/>
              <w:rPr>
                <w:b/>
                <w:bCs/>
                <w:color w:val="000000"/>
              </w:rPr>
            </w:pPr>
          </w:p>
          <w:p w:rsidR="003258B5" w:rsidRPr="00C865CD" w:rsidRDefault="00270F62" w:rsidP="005E527B">
            <w:pPr>
              <w:widowControl w:val="0"/>
              <w:autoSpaceDE w:val="0"/>
              <w:autoSpaceDN w:val="0"/>
              <w:adjustRightInd w:val="0"/>
              <w:spacing w:line="255" w:lineRule="atLeast"/>
              <w:jc w:val="center"/>
            </w:pPr>
            <w:r>
              <w:rPr>
                <w:b/>
                <w:bCs/>
                <w:color w:val="000000"/>
                <w:sz w:val="22"/>
                <w:szCs w:val="22"/>
                <w:lang w:val="sr-Cyrl-CS"/>
              </w:rPr>
              <w:t>Назив продајне целине</w:t>
            </w:r>
          </w:p>
          <w:p w:rsidR="003258B5" w:rsidRPr="00C865CD" w:rsidRDefault="003258B5" w:rsidP="005E527B">
            <w:pPr>
              <w:widowControl w:val="0"/>
              <w:autoSpaceDE w:val="0"/>
              <w:autoSpaceDN w:val="0"/>
              <w:adjustRightInd w:val="0"/>
              <w:spacing w:line="255" w:lineRule="atLeast"/>
              <w:jc w:val="both"/>
              <w:rPr>
                <w:color w:val="000000"/>
              </w:rPr>
            </w:pPr>
          </w:p>
        </w:tc>
        <w:tc>
          <w:tcPr>
            <w:tcW w:w="1748" w:type="dxa"/>
          </w:tcPr>
          <w:p w:rsidR="003258B5" w:rsidRPr="00C865CD" w:rsidRDefault="003258B5" w:rsidP="005E527B">
            <w:pPr>
              <w:widowControl w:val="0"/>
              <w:autoSpaceDE w:val="0"/>
              <w:autoSpaceDN w:val="0"/>
              <w:adjustRightInd w:val="0"/>
              <w:spacing w:line="255" w:lineRule="atLeast"/>
              <w:jc w:val="center"/>
              <w:rPr>
                <w:b/>
                <w:bCs/>
                <w:color w:val="000000"/>
                <w:lang w:val="sr-Cyrl-CS"/>
              </w:rPr>
            </w:pPr>
          </w:p>
          <w:p w:rsidR="003258B5" w:rsidRPr="00C865CD" w:rsidRDefault="00FE0C4D" w:rsidP="005E527B">
            <w:pPr>
              <w:widowControl w:val="0"/>
              <w:autoSpaceDE w:val="0"/>
              <w:autoSpaceDN w:val="0"/>
              <w:adjustRightInd w:val="0"/>
              <w:spacing w:line="255" w:lineRule="atLeast"/>
              <w:jc w:val="center"/>
              <w:rPr>
                <w:lang w:val="sr-Cyrl-C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CS"/>
              </w:rPr>
              <w:t>П</w:t>
            </w:r>
            <w:r w:rsidR="003258B5" w:rsidRPr="00C865CD">
              <w:rPr>
                <w:b/>
                <w:bCs/>
                <w:color w:val="000000"/>
                <w:sz w:val="22"/>
                <w:szCs w:val="22"/>
                <w:lang w:val="sr-Cyrl-CS"/>
              </w:rPr>
              <w:t>очетна цена у динарима</w:t>
            </w:r>
          </w:p>
        </w:tc>
        <w:tc>
          <w:tcPr>
            <w:tcW w:w="1543" w:type="dxa"/>
          </w:tcPr>
          <w:p w:rsidR="003258B5" w:rsidRPr="00C865CD" w:rsidRDefault="003258B5" w:rsidP="005E527B">
            <w:pPr>
              <w:widowControl w:val="0"/>
              <w:autoSpaceDE w:val="0"/>
              <w:autoSpaceDN w:val="0"/>
              <w:adjustRightInd w:val="0"/>
              <w:spacing w:line="255" w:lineRule="atLeast"/>
              <w:jc w:val="center"/>
              <w:rPr>
                <w:b/>
                <w:bCs/>
                <w:color w:val="000000"/>
              </w:rPr>
            </w:pPr>
          </w:p>
          <w:p w:rsidR="003258B5" w:rsidRPr="007A7317" w:rsidRDefault="00FE0C4D" w:rsidP="005E527B">
            <w:pPr>
              <w:widowControl w:val="0"/>
              <w:autoSpaceDE w:val="0"/>
              <w:autoSpaceDN w:val="0"/>
              <w:adjustRightInd w:val="0"/>
              <w:spacing w:line="255" w:lineRule="atLeast"/>
              <w:jc w:val="center"/>
              <w:rPr>
                <w:lang w:val="sr-Cyrl-C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CS"/>
              </w:rPr>
              <w:t>Д</w:t>
            </w:r>
            <w:r w:rsidR="003258B5" w:rsidRPr="00C865CD">
              <w:rPr>
                <w:b/>
                <w:bCs/>
                <w:color w:val="000000"/>
                <w:sz w:val="22"/>
                <w:szCs w:val="22"/>
              </w:rPr>
              <w:t>епозит у дин</w:t>
            </w:r>
            <w:r w:rsidR="003258B5" w:rsidRPr="00C865CD">
              <w:rPr>
                <w:b/>
                <w:bCs/>
                <w:color w:val="000000"/>
                <w:sz w:val="22"/>
                <w:szCs w:val="22"/>
                <w:lang w:val="sr-Cyrl-CS"/>
              </w:rPr>
              <w:t>арима</w:t>
            </w:r>
          </w:p>
        </w:tc>
      </w:tr>
      <w:tr w:rsidR="003258B5" w:rsidRPr="00C865CD" w:rsidTr="004A2B6B">
        <w:trPr>
          <w:trHeight w:val="1975"/>
        </w:trPr>
        <w:tc>
          <w:tcPr>
            <w:tcW w:w="959" w:type="dxa"/>
          </w:tcPr>
          <w:p w:rsidR="003258B5" w:rsidRDefault="003258B5" w:rsidP="005E527B">
            <w:pPr>
              <w:widowControl w:val="0"/>
              <w:tabs>
                <w:tab w:val="left" w:pos="285"/>
                <w:tab w:val="center" w:pos="486"/>
              </w:tabs>
              <w:autoSpaceDE w:val="0"/>
              <w:autoSpaceDN w:val="0"/>
              <w:adjustRightInd w:val="0"/>
              <w:spacing w:line="255" w:lineRule="atLeast"/>
              <w:rPr>
                <w:b/>
                <w:color w:val="000000"/>
                <w:lang w:val="sr-Cyrl-CS"/>
              </w:rPr>
            </w:pPr>
            <w:r>
              <w:rPr>
                <w:b/>
                <w:color w:val="000000"/>
                <w:sz w:val="22"/>
                <w:szCs w:val="22"/>
                <w:lang w:val="sr-Cyrl-CS"/>
              </w:rPr>
              <w:tab/>
            </w:r>
          </w:p>
          <w:p w:rsidR="003258B5" w:rsidRPr="00C865CD" w:rsidRDefault="003258B5" w:rsidP="005E527B">
            <w:pPr>
              <w:widowControl w:val="0"/>
              <w:tabs>
                <w:tab w:val="left" w:pos="285"/>
                <w:tab w:val="center" w:pos="486"/>
              </w:tabs>
              <w:autoSpaceDE w:val="0"/>
              <w:autoSpaceDN w:val="0"/>
              <w:adjustRightInd w:val="0"/>
              <w:spacing w:line="255" w:lineRule="atLeast"/>
              <w:jc w:val="center"/>
              <w:rPr>
                <w:b/>
                <w:color w:val="000000"/>
                <w:lang w:val="sr-Cyrl-CS"/>
              </w:rPr>
            </w:pPr>
            <w:r w:rsidRPr="00C865CD">
              <w:rPr>
                <w:b/>
                <w:color w:val="000000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4961" w:type="dxa"/>
          </w:tcPr>
          <w:p w:rsidR="002233D0" w:rsidRDefault="003258B5" w:rsidP="003258B5">
            <w:pPr>
              <w:widowControl w:val="0"/>
              <w:autoSpaceDE w:val="0"/>
              <w:autoSpaceDN w:val="0"/>
              <w:adjustRightInd w:val="0"/>
              <w:spacing w:line="255" w:lineRule="atLeast"/>
              <w:rPr>
                <w:color w:val="000000"/>
                <w:lang w:val="sr-Cyrl-CS"/>
              </w:rPr>
            </w:pPr>
            <w:r w:rsidRPr="002233D0">
              <w:rPr>
                <w:b/>
                <w:color w:val="000000"/>
                <w:sz w:val="22"/>
                <w:szCs w:val="22"/>
                <w:u w:val="single"/>
                <w:lang w:val="sr-Cyrl-CS"/>
              </w:rPr>
              <w:t>1.Земљиште на КП. бр. 1297 и  КП 1283/1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–</w:t>
            </w:r>
          </w:p>
          <w:p w:rsidR="003258B5" w:rsidRPr="004A2B6B" w:rsidRDefault="003258B5" w:rsidP="003258B5">
            <w:pPr>
              <w:widowControl w:val="0"/>
              <w:autoSpaceDE w:val="0"/>
              <w:autoSpaceDN w:val="0"/>
              <w:adjustRightInd w:val="0"/>
              <w:spacing w:line="255" w:lineRule="atLeast"/>
              <w:rPr>
                <w:b/>
                <w:color w:val="000000"/>
                <w:lang w:val="sr-Cyrl-CS"/>
              </w:rPr>
            </w:pPr>
            <w:r w:rsidRPr="003258B5">
              <w:rPr>
                <w:b/>
                <w:color w:val="000000"/>
                <w:sz w:val="22"/>
                <w:szCs w:val="22"/>
                <w:lang w:val="sr-Cyrl-CS"/>
              </w:rPr>
              <w:t>П</w:t>
            </w:r>
            <w:r w:rsidR="004A2B6B">
              <w:rPr>
                <w:b/>
                <w:color w:val="000000"/>
                <w:sz w:val="22"/>
                <w:szCs w:val="22"/>
                <w:lang w:val="sr-Cyrl-CS"/>
              </w:rPr>
              <w:t xml:space="preserve"> </w:t>
            </w:r>
            <w:r w:rsidR="00706800">
              <w:rPr>
                <w:color w:val="000000"/>
                <w:sz w:val="22"/>
                <w:szCs w:val="22"/>
              </w:rPr>
              <w:t xml:space="preserve">= </w:t>
            </w:r>
            <w:r w:rsidRPr="003258B5">
              <w:rPr>
                <w:b/>
                <w:color w:val="000000"/>
                <w:sz w:val="22"/>
                <w:szCs w:val="22"/>
                <w:lang w:val="sr-Cyrl-CS"/>
              </w:rPr>
              <w:t>29120 м2</w:t>
            </w:r>
            <w:r w:rsidR="00E06889" w:rsidRPr="004A2B6B">
              <w:rPr>
                <w:b/>
                <w:color w:val="000000"/>
                <w:sz w:val="22"/>
                <w:szCs w:val="22"/>
                <w:lang w:val="sr-Cyrl-CS"/>
              </w:rPr>
              <w:t>,</w:t>
            </w:r>
            <w:r w:rsidRPr="004A2B6B">
              <w:rPr>
                <w:b/>
                <w:color w:val="000000"/>
                <w:sz w:val="22"/>
                <w:szCs w:val="22"/>
                <w:lang w:val="sr-Cyrl-CS"/>
              </w:rPr>
              <w:t xml:space="preserve">  уписан</w:t>
            </w:r>
            <w:r w:rsidR="00E06889" w:rsidRPr="004A2B6B">
              <w:rPr>
                <w:b/>
                <w:color w:val="000000"/>
                <w:sz w:val="22"/>
                <w:szCs w:val="22"/>
                <w:lang w:val="sr-Cyrl-CS"/>
              </w:rPr>
              <w:t>о у Л</w:t>
            </w:r>
            <w:r w:rsidR="00795A67" w:rsidRPr="004A2B6B">
              <w:rPr>
                <w:b/>
                <w:color w:val="000000"/>
                <w:sz w:val="22"/>
                <w:szCs w:val="22"/>
                <w:lang w:val="sr-Cyrl-CS"/>
              </w:rPr>
              <w:t xml:space="preserve">ист непокретности  1100 и 1096  </w:t>
            </w:r>
            <w:r w:rsidRPr="004A2B6B">
              <w:rPr>
                <w:b/>
                <w:color w:val="000000"/>
                <w:sz w:val="22"/>
                <w:szCs w:val="22"/>
                <w:lang w:val="sr-Cyrl-CS"/>
              </w:rPr>
              <w:t xml:space="preserve"> К.О. Лучани</w:t>
            </w:r>
            <w:r w:rsidR="00795A67" w:rsidRPr="004A2B6B">
              <w:rPr>
                <w:b/>
                <w:color w:val="000000"/>
                <w:sz w:val="22"/>
                <w:szCs w:val="22"/>
                <w:lang w:val="sr-Cyrl-CS"/>
              </w:rPr>
              <w:t>,</w:t>
            </w:r>
            <w:r w:rsidRPr="004A2B6B">
              <w:rPr>
                <w:b/>
                <w:color w:val="000000"/>
                <w:sz w:val="22"/>
                <w:szCs w:val="22"/>
                <w:lang w:val="sr-Cyrl-CS"/>
              </w:rPr>
              <w:t xml:space="preserve"> као   градско грађевинско земљиште, књижно власништво  стечајног дужника</w:t>
            </w:r>
            <w:r w:rsidR="00795A67" w:rsidRPr="004A2B6B">
              <w:rPr>
                <w:b/>
                <w:color w:val="000000"/>
                <w:sz w:val="22"/>
                <w:szCs w:val="22"/>
                <w:lang w:val="sr-Cyrl-CS"/>
              </w:rPr>
              <w:t>.</w:t>
            </w:r>
          </w:p>
          <w:p w:rsidR="002233D0" w:rsidRPr="002233D0" w:rsidRDefault="002233D0" w:rsidP="002233D0">
            <w:pPr>
              <w:jc w:val="both"/>
              <w:rPr>
                <w:b/>
                <w:u w:val="single"/>
              </w:rPr>
            </w:pPr>
            <w:r w:rsidRPr="002233D0">
              <w:rPr>
                <w:b/>
                <w:u w:val="single"/>
              </w:rPr>
              <w:t>2.Грађевински  објекти</w:t>
            </w:r>
          </w:p>
          <w:p w:rsidR="002233D0" w:rsidRDefault="002233D0" w:rsidP="002233D0">
            <w:pPr>
              <w:jc w:val="both"/>
              <w:rPr>
                <w:color w:val="000000"/>
              </w:rPr>
            </w:pPr>
            <w:r w:rsidRPr="002233D0">
              <w:rPr>
                <w:b/>
              </w:rPr>
              <w:t>Зграда бр. 1</w:t>
            </w:r>
            <w:r w:rsidRPr="002233D0">
              <w:t xml:space="preserve">- </w:t>
            </w:r>
            <w:r w:rsidRPr="002233D0">
              <w:rPr>
                <w:b/>
              </w:rPr>
              <w:t>Хала за производњу ПП и ПЕ цеви</w:t>
            </w:r>
            <w:r w:rsidRPr="002233D0">
              <w:t xml:space="preserve">,  </w:t>
            </w:r>
            <w:r w:rsidRPr="004A2B6B">
              <w:rPr>
                <w:b/>
              </w:rPr>
              <w:t>бруто површине 865,50 м²,</w:t>
            </w:r>
            <w:r w:rsidRPr="002233D0">
              <w:t xml:space="preserve"> </w:t>
            </w:r>
          </w:p>
          <w:p w:rsidR="002233D0" w:rsidRPr="004A2B6B" w:rsidRDefault="002233D0" w:rsidP="002233D0">
            <w:pPr>
              <w:jc w:val="both"/>
              <w:rPr>
                <w:b/>
              </w:rPr>
            </w:pPr>
            <w:r>
              <w:rPr>
                <w:b/>
              </w:rPr>
              <w:t xml:space="preserve">Зграда бр. 3 </w:t>
            </w:r>
            <w:r w:rsidRPr="00F86DAA">
              <w:rPr>
                <w:b/>
              </w:rPr>
              <w:t>Објекат хемијске индустрије</w:t>
            </w:r>
            <w:r w:rsidRPr="00F86DAA">
              <w:t xml:space="preserve">, </w:t>
            </w:r>
            <w:r w:rsidRPr="004A2B6B">
              <w:rPr>
                <w:b/>
              </w:rPr>
              <w:t xml:space="preserve">бруто површине 248,00 м², </w:t>
            </w:r>
          </w:p>
          <w:p w:rsidR="002233D0" w:rsidRPr="004A2B6B" w:rsidRDefault="002233D0" w:rsidP="002233D0">
            <w:pPr>
              <w:jc w:val="both"/>
              <w:rPr>
                <w:b/>
              </w:rPr>
            </w:pPr>
            <w:r w:rsidRPr="00F86DAA">
              <w:rPr>
                <w:b/>
              </w:rPr>
              <w:t>Зграда бр 4 - Хала за производњу ПВЦ цеви</w:t>
            </w:r>
            <w:r w:rsidRPr="00F86DAA">
              <w:t xml:space="preserve">, </w:t>
            </w:r>
            <w:r w:rsidRPr="004A2B6B">
              <w:rPr>
                <w:b/>
              </w:rPr>
              <w:t xml:space="preserve">бруто површине 473,00 м², </w:t>
            </w:r>
          </w:p>
          <w:p w:rsidR="002233D0" w:rsidRPr="004A2B6B" w:rsidRDefault="002233D0" w:rsidP="002233D0">
            <w:pPr>
              <w:jc w:val="both"/>
              <w:rPr>
                <w:b/>
              </w:rPr>
            </w:pPr>
            <w:r w:rsidRPr="004A2B6B">
              <w:rPr>
                <w:b/>
              </w:rPr>
              <w:t xml:space="preserve">Зграда бр. 5 - Хала мешача за ПВЦ прах, бруто површине 237,00 м², </w:t>
            </w:r>
          </w:p>
          <w:p w:rsidR="002233D0" w:rsidRPr="004A2B6B" w:rsidRDefault="002233D0" w:rsidP="002233D0">
            <w:pPr>
              <w:jc w:val="both"/>
              <w:rPr>
                <w:b/>
              </w:rPr>
            </w:pPr>
            <w:r w:rsidRPr="004A2B6B">
              <w:rPr>
                <w:b/>
              </w:rPr>
              <w:t xml:space="preserve">Зграда бр. 6 - Зграда за размеравање компоненти, лабораторија и алатница, бруто  површине 222,00 м²,  </w:t>
            </w:r>
          </w:p>
          <w:p w:rsidR="002233D0" w:rsidRPr="004A2B6B" w:rsidRDefault="002233D0" w:rsidP="002233D0">
            <w:pPr>
              <w:jc w:val="both"/>
              <w:rPr>
                <w:b/>
              </w:rPr>
            </w:pPr>
            <w:r w:rsidRPr="004A2B6B">
              <w:rPr>
                <w:b/>
              </w:rPr>
              <w:t>Зграда бр. 7 - Зграда магацина и млин за ПВЦ, бруто  површине 275,00 м</w:t>
            </w:r>
          </w:p>
          <w:p w:rsidR="002233D0" w:rsidRPr="004A2B6B" w:rsidRDefault="002233D0" w:rsidP="002233D0">
            <w:pPr>
              <w:jc w:val="both"/>
              <w:rPr>
                <w:b/>
              </w:rPr>
            </w:pPr>
            <w:r w:rsidRPr="004A2B6B">
              <w:rPr>
                <w:b/>
              </w:rPr>
              <w:t>Зграда бр. 8 -Трафостаница, ПР, бруто површине 77,00 м</w:t>
            </w:r>
          </w:p>
          <w:p w:rsidR="002233D0" w:rsidRPr="004A2B6B" w:rsidRDefault="002233D0" w:rsidP="002233D0">
            <w:pPr>
              <w:jc w:val="both"/>
              <w:rPr>
                <w:b/>
              </w:rPr>
            </w:pPr>
            <w:r w:rsidRPr="004A2B6B">
              <w:rPr>
                <w:b/>
              </w:rPr>
              <w:t>Зграда бр. 9 - Хала шприцераја-стари погон,  бруто површине  585,00 м</w:t>
            </w:r>
          </w:p>
          <w:p w:rsidR="002233D0" w:rsidRPr="004A2B6B" w:rsidRDefault="002233D0" w:rsidP="002233D0">
            <w:pPr>
              <w:jc w:val="both"/>
              <w:rPr>
                <w:b/>
              </w:rPr>
            </w:pPr>
            <w:r w:rsidRPr="004A2B6B">
              <w:rPr>
                <w:b/>
              </w:rPr>
              <w:t xml:space="preserve">Зграда бр. 10 - Хала шприцераја-нови погон , делом спратна, површине П 272,00 м², </w:t>
            </w:r>
          </w:p>
          <w:p w:rsidR="002233D0" w:rsidRPr="004A2B6B" w:rsidRDefault="002233D0" w:rsidP="002233D0">
            <w:pPr>
              <w:jc w:val="both"/>
              <w:rPr>
                <w:b/>
              </w:rPr>
            </w:pPr>
            <w:r w:rsidRPr="004A2B6B">
              <w:rPr>
                <w:b/>
              </w:rPr>
              <w:t xml:space="preserve">Зграда бр. 11-Зграда за електромашинско одржавање са магацином, бруто површине 221м2,  </w:t>
            </w:r>
            <w:r w:rsidRPr="004A2B6B">
              <w:rPr>
                <w:b/>
                <w:color w:val="000000"/>
              </w:rPr>
              <w:t>,</w:t>
            </w:r>
          </w:p>
          <w:p w:rsidR="002233D0" w:rsidRPr="004A2B6B" w:rsidRDefault="002233D0" w:rsidP="002233D0">
            <w:pPr>
              <w:jc w:val="both"/>
              <w:rPr>
                <w:b/>
              </w:rPr>
            </w:pPr>
            <w:r w:rsidRPr="004A2B6B">
              <w:rPr>
                <w:b/>
              </w:rPr>
              <w:t xml:space="preserve">Зграда бр. 16 - Магацин примене, ПР, бруто површине 102м2,  </w:t>
            </w:r>
          </w:p>
          <w:p w:rsidR="002233D0" w:rsidRPr="004A2B6B" w:rsidRDefault="002233D0" w:rsidP="002233D0">
            <w:pPr>
              <w:jc w:val="both"/>
              <w:rPr>
                <w:b/>
              </w:rPr>
            </w:pPr>
            <w:r w:rsidRPr="004A2B6B">
              <w:rPr>
                <w:b/>
              </w:rPr>
              <w:t xml:space="preserve">Зграда бр.17-Хала за примену пластике, ПР, бруто површине 458м2, </w:t>
            </w:r>
          </w:p>
          <w:p w:rsidR="002233D0" w:rsidRPr="004A2B6B" w:rsidRDefault="002233D0" w:rsidP="002233D0">
            <w:pPr>
              <w:jc w:val="both"/>
              <w:rPr>
                <w:b/>
              </w:rPr>
            </w:pPr>
            <w:r w:rsidRPr="00B87E88">
              <w:rPr>
                <w:b/>
              </w:rPr>
              <w:lastRenderedPageBreak/>
              <w:t xml:space="preserve">Зграда бр. 18 - </w:t>
            </w:r>
            <w:r w:rsidRPr="004A2B6B">
              <w:rPr>
                <w:b/>
              </w:rPr>
              <w:t xml:space="preserve">Надстрешица уз халу примене пластике,  бруто површине 105м2,  </w:t>
            </w:r>
          </w:p>
          <w:p w:rsidR="002233D0" w:rsidRPr="004A2B6B" w:rsidRDefault="002233D0" w:rsidP="002233D0">
            <w:pPr>
              <w:jc w:val="both"/>
              <w:rPr>
                <w:b/>
                <w:color w:val="000000"/>
              </w:rPr>
            </w:pPr>
            <w:r w:rsidRPr="004A2B6B">
              <w:rPr>
                <w:b/>
              </w:rPr>
              <w:t>Бунар-ванккњижно  власништво стечјног дужника, на КП 1297.</w:t>
            </w:r>
          </w:p>
          <w:p w:rsidR="002233D0" w:rsidRPr="004A2B6B" w:rsidRDefault="002233D0" w:rsidP="002233D0">
            <w:pPr>
              <w:jc w:val="both"/>
              <w:rPr>
                <w:b/>
              </w:rPr>
            </w:pPr>
            <w:r w:rsidRPr="004A2B6B">
              <w:rPr>
                <w:b/>
              </w:rPr>
              <w:t>Зграда бр. 3-Компресорска станица, ПР, изгра</w:t>
            </w:r>
            <w:r w:rsidR="00E06889" w:rsidRPr="004A2B6B">
              <w:rPr>
                <w:b/>
              </w:rPr>
              <w:t>ђена на КП 1274,Л</w:t>
            </w:r>
            <w:r w:rsidRPr="004A2B6B">
              <w:rPr>
                <w:b/>
              </w:rPr>
              <w:t xml:space="preserve">Н 1095 КО Лучани, бруто површине 1358 м2, </w:t>
            </w:r>
          </w:p>
          <w:p w:rsidR="002233D0" w:rsidRPr="004A2B6B" w:rsidRDefault="002233D0" w:rsidP="002233D0">
            <w:pPr>
              <w:spacing w:line="0" w:lineRule="atLeast"/>
              <w:rPr>
                <w:b/>
              </w:rPr>
            </w:pPr>
            <w:r w:rsidRPr="004A2B6B">
              <w:rPr>
                <w:b/>
              </w:rPr>
              <w:t xml:space="preserve">Три (3) канцеларије у МБ Наменска ад Лучани, укупне бруто површине 70м2 . </w:t>
            </w:r>
          </w:p>
          <w:p w:rsidR="002233D0" w:rsidRPr="004A2B6B" w:rsidRDefault="002233D0" w:rsidP="002233D0">
            <w:pPr>
              <w:jc w:val="both"/>
              <w:rPr>
                <w:b/>
                <w:u w:val="single"/>
              </w:rPr>
            </w:pPr>
            <w:r w:rsidRPr="004A2B6B">
              <w:rPr>
                <w:b/>
                <w:u w:val="single"/>
              </w:rPr>
              <w:t xml:space="preserve">3.Опрема, ситан инвентар и готови производи у </w:t>
            </w:r>
            <w:r w:rsidR="00795A67" w:rsidRPr="004A2B6B">
              <w:rPr>
                <w:b/>
                <w:u w:val="single"/>
              </w:rPr>
              <w:t xml:space="preserve">наведеним </w:t>
            </w:r>
            <w:r w:rsidRPr="004A2B6B">
              <w:rPr>
                <w:b/>
                <w:u w:val="single"/>
              </w:rPr>
              <w:t>објектима</w:t>
            </w:r>
            <w:r w:rsidR="00856E28" w:rsidRPr="004A2B6B">
              <w:rPr>
                <w:b/>
                <w:u w:val="single"/>
              </w:rPr>
              <w:t>.</w:t>
            </w:r>
          </w:p>
          <w:p w:rsidR="003258B5" w:rsidRPr="00856E28" w:rsidRDefault="00856E28" w:rsidP="00856E28">
            <w:pPr>
              <w:jc w:val="both"/>
              <w:rPr>
                <w:color w:val="000000"/>
              </w:rPr>
            </w:pPr>
            <w:r w:rsidRPr="004A2B6B">
              <w:rPr>
                <w:b/>
              </w:rPr>
              <w:t xml:space="preserve">Спецификација  и опис опреме, која се продаје заједно са објектима, </w:t>
            </w:r>
            <w:r w:rsidR="002233D0" w:rsidRPr="004A2B6B">
              <w:rPr>
                <w:b/>
              </w:rPr>
              <w:t>налази се у продајној документацији</w:t>
            </w:r>
            <w:r w:rsidRPr="004A2B6B">
              <w:rPr>
                <w:b/>
              </w:rPr>
              <w:t>.</w:t>
            </w:r>
          </w:p>
        </w:tc>
        <w:tc>
          <w:tcPr>
            <w:tcW w:w="1748" w:type="dxa"/>
          </w:tcPr>
          <w:p w:rsidR="002233D0" w:rsidRPr="002233D0" w:rsidRDefault="002233D0" w:rsidP="005E527B">
            <w:pPr>
              <w:widowControl w:val="0"/>
              <w:autoSpaceDE w:val="0"/>
              <w:autoSpaceDN w:val="0"/>
              <w:adjustRightInd w:val="0"/>
              <w:spacing w:line="255" w:lineRule="atLeast"/>
              <w:jc w:val="right"/>
              <w:rPr>
                <w:b/>
                <w:color w:val="000000"/>
                <w:lang w:val="sr-Cyrl-CS"/>
              </w:rPr>
            </w:pPr>
          </w:p>
          <w:p w:rsidR="003258B5" w:rsidRPr="002233D0" w:rsidRDefault="004A2B6B" w:rsidP="005E527B">
            <w:pPr>
              <w:widowControl w:val="0"/>
              <w:autoSpaceDE w:val="0"/>
              <w:autoSpaceDN w:val="0"/>
              <w:adjustRightInd w:val="0"/>
              <w:spacing w:line="255" w:lineRule="atLeast"/>
              <w:jc w:val="right"/>
              <w:rPr>
                <w:b/>
                <w:color w:val="000000"/>
                <w:lang w:val="sr-Cyrl-CS"/>
              </w:rPr>
            </w:pPr>
            <w:r>
              <w:rPr>
                <w:b/>
                <w:color w:val="000000"/>
                <w:lang w:val="sr-Cyrl-CS"/>
              </w:rPr>
              <w:t>63.894.455,80</w:t>
            </w:r>
          </w:p>
        </w:tc>
        <w:tc>
          <w:tcPr>
            <w:tcW w:w="1543" w:type="dxa"/>
          </w:tcPr>
          <w:p w:rsidR="002233D0" w:rsidRPr="002233D0" w:rsidRDefault="002233D0" w:rsidP="005E527B">
            <w:pPr>
              <w:widowControl w:val="0"/>
              <w:autoSpaceDE w:val="0"/>
              <w:autoSpaceDN w:val="0"/>
              <w:adjustRightInd w:val="0"/>
              <w:spacing w:line="255" w:lineRule="atLeast"/>
              <w:jc w:val="right"/>
              <w:rPr>
                <w:b/>
                <w:color w:val="000000"/>
                <w:lang w:val="sr-Cyrl-CS"/>
              </w:rPr>
            </w:pPr>
          </w:p>
          <w:p w:rsidR="003258B5" w:rsidRPr="002233D0" w:rsidRDefault="00802BBA" w:rsidP="005E527B">
            <w:pPr>
              <w:widowControl w:val="0"/>
              <w:autoSpaceDE w:val="0"/>
              <w:autoSpaceDN w:val="0"/>
              <w:adjustRightInd w:val="0"/>
              <w:spacing w:line="255" w:lineRule="atLeast"/>
              <w:jc w:val="right"/>
              <w:rPr>
                <w:b/>
                <w:color w:val="000000"/>
                <w:lang w:val="sr-Cyrl-CS"/>
              </w:rPr>
            </w:pPr>
            <w:r>
              <w:rPr>
                <w:b/>
                <w:color w:val="000000"/>
                <w:sz w:val="22"/>
                <w:szCs w:val="22"/>
                <w:lang w:val="sr-Cyrl-CS"/>
              </w:rPr>
              <w:t>31.947.30</w:t>
            </w:r>
            <w:r w:rsidR="00FE0C4D">
              <w:rPr>
                <w:b/>
                <w:color w:val="000000"/>
                <w:sz w:val="22"/>
                <w:szCs w:val="22"/>
                <w:lang w:val="sr-Cyrl-CS"/>
              </w:rPr>
              <w:t>2</w:t>
            </w:r>
            <w:r>
              <w:rPr>
                <w:b/>
                <w:color w:val="000000"/>
                <w:sz w:val="22"/>
                <w:szCs w:val="22"/>
                <w:lang w:val="sr-Cyrl-CS"/>
              </w:rPr>
              <w:t>,00</w:t>
            </w:r>
          </w:p>
          <w:p w:rsidR="003258B5" w:rsidRPr="002233D0" w:rsidRDefault="003258B5" w:rsidP="005E527B">
            <w:pPr>
              <w:widowControl w:val="0"/>
              <w:autoSpaceDE w:val="0"/>
              <w:autoSpaceDN w:val="0"/>
              <w:adjustRightInd w:val="0"/>
              <w:spacing w:line="255" w:lineRule="atLeast"/>
              <w:jc w:val="right"/>
              <w:rPr>
                <w:b/>
                <w:color w:val="000000"/>
                <w:lang w:val="en-US"/>
              </w:rPr>
            </w:pPr>
          </w:p>
        </w:tc>
      </w:tr>
      <w:tr w:rsidR="003258B5" w:rsidRPr="00C865CD" w:rsidTr="004A2B6B">
        <w:trPr>
          <w:trHeight w:val="1195"/>
        </w:trPr>
        <w:tc>
          <w:tcPr>
            <w:tcW w:w="959" w:type="dxa"/>
          </w:tcPr>
          <w:p w:rsidR="003258B5" w:rsidRPr="00C865CD" w:rsidRDefault="00802BBA" w:rsidP="005E527B">
            <w:pPr>
              <w:widowControl w:val="0"/>
              <w:autoSpaceDE w:val="0"/>
              <w:autoSpaceDN w:val="0"/>
              <w:adjustRightInd w:val="0"/>
              <w:spacing w:line="255" w:lineRule="atLeast"/>
              <w:jc w:val="center"/>
              <w:rPr>
                <w:b/>
                <w:color w:val="000000"/>
                <w:lang w:val="sr-Cyrl-CS"/>
              </w:rPr>
            </w:pPr>
            <w:r>
              <w:rPr>
                <w:b/>
                <w:color w:val="000000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4961" w:type="dxa"/>
          </w:tcPr>
          <w:p w:rsidR="00802BBA" w:rsidRPr="004A2B6B" w:rsidRDefault="00802BBA" w:rsidP="00802BBA">
            <w:pPr>
              <w:jc w:val="both"/>
              <w:rPr>
                <w:b/>
              </w:rPr>
            </w:pPr>
            <w:r w:rsidRPr="004A2B6B">
              <w:rPr>
                <w:b/>
                <w:color w:val="000000"/>
                <w:sz w:val="22"/>
                <w:szCs w:val="22"/>
                <w:lang w:val="sr-Cyrl-CS"/>
              </w:rPr>
              <w:t xml:space="preserve"> 1.</w:t>
            </w:r>
            <w:r w:rsidRPr="004A2B6B">
              <w:rPr>
                <w:b/>
              </w:rPr>
              <w:t>Зграда МБ Комерца,</w:t>
            </w:r>
            <w:r w:rsidR="00816D67">
              <w:rPr>
                <w:b/>
              </w:rPr>
              <w:t xml:space="preserve"> </w:t>
            </w:r>
            <w:r w:rsidRPr="004A2B6B">
              <w:rPr>
                <w:b/>
              </w:rPr>
              <w:t>површине 330 м2, приземни део од 8 канцеларија.</w:t>
            </w:r>
          </w:p>
          <w:p w:rsidR="00802BBA" w:rsidRPr="004A2B6B" w:rsidRDefault="00802BBA" w:rsidP="00802BBA">
            <w:pPr>
              <w:jc w:val="both"/>
              <w:rPr>
                <w:b/>
              </w:rPr>
            </w:pPr>
            <w:r w:rsidRPr="004A2B6B">
              <w:rPr>
                <w:b/>
              </w:rPr>
              <w:t>2.Опрема у згради МБ Комерц,</w:t>
            </w:r>
            <w:r w:rsidR="004E264D">
              <w:rPr>
                <w:b/>
              </w:rPr>
              <w:t xml:space="preserve"> </w:t>
            </w:r>
            <w:r w:rsidRPr="004A2B6B">
              <w:rPr>
                <w:b/>
              </w:rPr>
              <w:t>према спецификацији из продајне документације.</w:t>
            </w:r>
          </w:p>
          <w:p w:rsidR="003258B5" w:rsidRPr="004A2B6B" w:rsidRDefault="003258B5" w:rsidP="005E527B">
            <w:pPr>
              <w:widowControl w:val="0"/>
              <w:autoSpaceDE w:val="0"/>
              <w:autoSpaceDN w:val="0"/>
              <w:adjustRightInd w:val="0"/>
              <w:spacing w:line="255" w:lineRule="atLeast"/>
              <w:rPr>
                <w:b/>
                <w:color w:val="000000"/>
                <w:lang w:val="sr-Cyrl-CS"/>
              </w:rPr>
            </w:pPr>
          </w:p>
        </w:tc>
        <w:tc>
          <w:tcPr>
            <w:tcW w:w="1748" w:type="dxa"/>
          </w:tcPr>
          <w:p w:rsidR="003258B5" w:rsidRPr="004577F7" w:rsidRDefault="004A2B6B" w:rsidP="005E527B">
            <w:pPr>
              <w:widowControl w:val="0"/>
              <w:autoSpaceDE w:val="0"/>
              <w:autoSpaceDN w:val="0"/>
              <w:adjustRightInd w:val="0"/>
              <w:spacing w:line="255" w:lineRule="atLeast"/>
              <w:jc w:val="right"/>
              <w:rPr>
                <w:b/>
                <w:color w:val="000000"/>
                <w:lang w:val="sr-Cyrl-CS"/>
              </w:rPr>
            </w:pPr>
            <w:r>
              <w:rPr>
                <w:b/>
                <w:color w:val="000000"/>
                <w:sz w:val="22"/>
                <w:szCs w:val="22"/>
                <w:lang w:val="sr-Cyrl-CS"/>
              </w:rPr>
              <w:t>1.385.285,50</w:t>
            </w:r>
          </w:p>
        </w:tc>
        <w:tc>
          <w:tcPr>
            <w:tcW w:w="1543" w:type="dxa"/>
          </w:tcPr>
          <w:p w:rsidR="003258B5" w:rsidRPr="004577F7" w:rsidRDefault="00802BBA" w:rsidP="005E527B">
            <w:pPr>
              <w:widowControl w:val="0"/>
              <w:autoSpaceDE w:val="0"/>
              <w:autoSpaceDN w:val="0"/>
              <w:adjustRightInd w:val="0"/>
              <w:spacing w:line="255" w:lineRule="atLeast"/>
              <w:jc w:val="right"/>
              <w:rPr>
                <w:b/>
                <w:color w:val="000000"/>
                <w:lang w:val="sr-Cyrl-CS"/>
              </w:rPr>
            </w:pPr>
            <w:r w:rsidRPr="004577F7">
              <w:rPr>
                <w:b/>
                <w:color w:val="000000"/>
                <w:sz w:val="22"/>
                <w:szCs w:val="22"/>
                <w:lang w:val="sr-Cyrl-CS"/>
              </w:rPr>
              <w:t>692.642,00</w:t>
            </w:r>
          </w:p>
          <w:p w:rsidR="003258B5" w:rsidRPr="004577F7" w:rsidRDefault="003258B5" w:rsidP="005E527B">
            <w:pPr>
              <w:widowControl w:val="0"/>
              <w:autoSpaceDE w:val="0"/>
              <w:autoSpaceDN w:val="0"/>
              <w:adjustRightInd w:val="0"/>
              <w:spacing w:line="255" w:lineRule="atLeast"/>
              <w:jc w:val="right"/>
              <w:rPr>
                <w:b/>
                <w:color w:val="000000"/>
                <w:lang w:val="sr-Cyrl-CS"/>
              </w:rPr>
            </w:pPr>
          </w:p>
        </w:tc>
      </w:tr>
      <w:tr w:rsidR="003258B5" w:rsidRPr="00C865CD" w:rsidTr="004A2B6B">
        <w:tc>
          <w:tcPr>
            <w:tcW w:w="959" w:type="dxa"/>
          </w:tcPr>
          <w:p w:rsidR="003258B5" w:rsidRDefault="00BB2784" w:rsidP="005E527B">
            <w:pPr>
              <w:widowControl w:val="0"/>
              <w:autoSpaceDE w:val="0"/>
              <w:autoSpaceDN w:val="0"/>
              <w:adjustRightInd w:val="0"/>
              <w:spacing w:line="255" w:lineRule="atLeast"/>
              <w:jc w:val="center"/>
              <w:rPr>
                <w:b/>
                <w:color w:val="000000"/>
                <w:lang w:val="sr-Cyrl-CS"/>
              </w:rPr>
            </w:pPr>
            <w:r>
              <w:rPr>
                <w:b/>
                <w:color w:val="000000"/>
                <w:lang w:val="sr-Cyrl-CS"/>
              </w:rPr>
              <w:t>3.</w:t>
            </w:r>
          </w:p>
          <w:p w:rsidR="003258B5" w:rsidRDefault="003258B5" w:rsidP="005E527B">
            <w:pPr>
              <w:widowControl w:val="0"/>
              <w:autoSpaceDE w:val="0"/>
              <w:autoSpaceDN w:val="0"/>
              <w:adjustRightInd w:val="0"/>
              <w:spacing w:line="255" w:lineRule="atLeast"/>
              <w:jc w:val="center"/>
              <w:rPr>
                <w:b/>
                <w:color w:val="000000"/>
                <w:lang w:val="sr-Cyrl-CS"/>
              </w:rPr>
            </w:pPr>
          </w:p>
        </w:tc>
        <w:tc>
          <w:tcPr>
            <w:tcW w:w="4961" w:type="dxa"/>
          </w:tcPr>
          <w:p w:rsidR="003258B5" w:rsidRPr="004A2B6B" w:rsidRDefault="004A2B6B" w:rsidP="004A2B6B">
            <w:pPr>
              <w:spacing w:line="0" w:lineRule="atLeast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Све врсте прозвода од пластике: ПВЦ, ПП и ПЕ</w:t>
            </w:r>
            <w:r w:rsidR="00802BBA" w:rsidRPr="004A2B6B">
              <w:rPr>
                <w:b/>
                <w:color w:val="00000A"/>
              </w:rPr>
              <w:t xml:space="preserve"> </w:t>
            </w:r>
          </w:p>
        </w:tc>
        <w:tc>
          <w:tcPr>
            <w:tcW w:w="1748" w:type="dxa"/>
          </w:tcPr>
          <w:p w:rsidR="003258B5" w:rsidRPr="004577F7" w:rsidRDefault="004A2B6B" w:rsidP="004A2B6B">
            <w:pPr>
              <w:widowControl w:val="0"/>
              <w:autoSpaceDE w:val="0"/>
              <w:autoSpaceDN w:val="0"/>
              <w:adjustRightInd w:val="0"/>
              <w:spacing w:line="255" w:lineRule="atLeast"/>
              <w:jc w:val="right"/>
              <w:rPr>
                <w:b/>
                <w:color w:val="000000"/>
                <w:lang w:val="sr-Cyrl-CS"/>
              </w:rPr>
            </w:pPr>
            <w:r>
              <w:rPr>
                <w:b/>
                <w:color w:val="000000"/>
                <w:lang w:val="sr-Cyrl-CS"/>
              </w:rPr>
              <w:t>500.000,00</w:t>
            </w:r>
          </w:p>
        </w:tc>
        <w:tc>
          <w:tcPr>
            <w:tcW w:w="1543" w:type="dxa"/>
          </w:tcPr>
          <w:p w:rsidR="003258B5" w:rsidRPr="004577F7" w:rsidRDefault="004A2B6B" w:rsidP="005E527B">
            <w:pPr>
              <w:widowControl w:val="0"/>
              <w:autoSpaceDE w:val="0"/>
              <w:autoSpaceDN w:val="0"/>
              <w:adjustRightInd w:val="0"/>
              <w:spacing w:line="255" w:lineRule="atLeast"/>
              <w:jc w:val="right"/>
              <w:rPr>
                <w:b/>
                <w:color w:val="000000"/>
                <w:lang w:val="sr-Cyrl-CS"/>
              </w:rPr>
            </w:pPr>
            <w:r>
              <w:rPr>
                <w:b/>
                <w:color w:val="000000"/>
                <w:lang w:val="sr-Cyrl-CS"/>
              </w:rPr>
              <w:t>250.000,00</w:t>
            </w:r>
          </w:p>
        </w:tc>
      </w:tr>
      <w:tr w:rsidR="004A2B6B" w:rsidRPr="00C865CD" w:rsidTr="004A2B6B">
        <w:tc>
          <w:tcPr>
            <w:tcW w:w="959" w:type="dxa"/>
          </w:tcPr>
          <w:p w:rsidR="004A2B6B" w:rsidRDefault="004A2B6B" w:rsidP="005E527B">
            <w:pPr>
              <w:widowControl w:val="0"/>
              <w:autoSpaceDE w:val="0"/>
              <w:autoSpaceDN w:val="0"/>
              <w:adjustRightInd w:val="0"/>
              <w:spacing w:line="255" w:lineRule="atLeast"/>
              <w:jc w:val="center"/>
              <w:rPr>
                <w:b/>
                <w:color w:val="000000"/>
                <w:lang w:val="sr-Cyrl-CS"/>
              </w:rPr>
            </w:pPr>
            <w:r>
              <w:rPr>
                <w:b/>
                <w:color w:val="000000"/>
                <w:lang w:val="sr-Cyrl-CS"/>
              </w:rPr>
              <w:t>4.</w:t>
            </w:r>
          </w:p>
        </w:tc>
        <w:tc>
          <w:tcPr>
            <w:tcW w:w="4961" w:type="dxa"/>
          </w:tcPr>
          <w:p w:rsidR="004A2B6B" w:rsidRPr="004A2B6B" w:rsidRDefault="004A2B6B" w:rsidP="004A2B6B">
            <w:pPr>
              <w:spacing w:line="0" w:lineRule="atLeast"/>
              <w:rPr>
                <w:b/>
                <w:color w:val="00000A"/>
              </w:rPr>
            </w:pPr>
            <w:r w:rsidRPr="006B4D52">
              <w:rPr>
                <w:b/>
                <w:color w:val="00000A"/>
              </w:rPr>
              <w:t>Вучна машина за пластику</w:t>
            </w:r>
            <w:r w:rsidRPr="004A2B6B">
              <w:rPr>
                <w:b/>
                <w:color w:val="00000A"/>
              </w:rPr>
              <w:t>, ручна израда,</w:t>
            </w:r>
          </w:p>
          <w:p w:rsidR="004A2B6B" w:rsidRPr="00795A67" w:rsidRDefault="004A2B6B" w:rsidP="004A2B6B">
            <w:pPr>
              <w:spacing w:line="0" w:lineRule="atLeast"/>
              <w:rPr>
                <w:b/>
                <w:color w:val="00000A"/>
              </w:rPr>
            </w:pPr>
            <w:r w:rsidRPr="004A2B6B">
              <w:rPr>
                <w:b/>
                <w:color w:val="00000A"/>
              </w:rPr>
              <w:t>Сечна машина за пластику, ручне израде</w:t>
            </w:r>
          </w:p>
        </w:tc>
        <w:tc>
          <w:tcPr>
            <w:tcW w:w="1748" w:type="dxa"/>
          </w:tcPr>
          <w:p w:rsidR="004A2B6B" w:rsidRPr="004577F7" w:rsidRDefault="004A2B6B" w:rsidP="005E527B">
            <w:pPr>
              <w:widowControl w:val="0"/>
              <w:autoSpaceDE w:val="0"/>
              <w:autoSpaceDN w:val="0"/>
              <w:adjustRightInd w:val="0"/>
              <w:spacing w:line="255" w:lineRule="atLeast"/>
              <w:jc w:val="right"/>
              <w:rPr>
                <w:b/>
                <w:color w:val="000000"/>
                <w:lang w:val="sr-Cyrl-CS"/>
              </w:rPr>
            </w:pPr>
            <w:r>
              <w:rPr>
                <w:b/>
                <w:color w:val="000000"/>
                <w:lang w:val="sr-Cyrl-CS"/>
              </w:rPr>
              <w:t>168.000,00</w:t>
            </w:r>
          </w:p>
        </w:tc>
        <w:tc>
          <w:tcPr>
            <w:tcW w:w="1543" w:type="dxa"/>
          </w:tcPr>
          <w:p w:rsidR="004A2B6B" w:rsidRPr="004577F7" w:rsidRDefault="004A2B6B" w:rsidP="005E527B">
            <w:pPr>
              <w:widowControl w:val="0"/>
              <w:autoSpaceDE w:val="0"/>
              <w:autoSpaceDN w:val="0"/>
              <w:adjustRightInd w:val="0"/>
              <w:spacing w:line="255" w:lineRule="atLeast"/>
              <w:jc w:val="right"/>
              <w:rPr>
                <w:b/>
                <w:color w:val="000000"/>
                <w:lang w:val="sr-Cyrl-CS"/>
              </w:rPr>
            </w:pPr>
            <w:r>
              <w:rPr>
                <w:b/>
                <w:color w:val="000000"/>
                <w:lang w:val="sr-Cyrl-CS"/>
              </w:rPr>
              <w:t>84.000,00</w:t>
            </w:r>
          </w:p>
        </w:tc>
      </w:tr>
    </w:tbl>
    <w:p w:rsidR="006B4D52" w:rsidRPr="004E264D" w:rsidRDefault="006B4D52" w:rsidP="003258B5">
      <w:pPr>
        <w:widowControl w:val="0"/>
        <w:autoSpaceDE w:val="0"/>
        <w:autoSpaceDN w:val="0"/>
        <w:adjustRightInd w:val="0"/>
        <w:spacing w:line="255" w:lineRule="atLeast"/>
        <w:jc w:val="both"/>
        <w:rPr>
          <w:b/>
          <w:color w:val="000000"/>
          <w:sz w:val="22"/>
          <w:szCs w:val="22"/>
        </w:rPr>
      </w:pPr>
    </w:p>
    <w:p w:rsidR="003258B5" w:rsidRPr="004E264D" w:rsidRDefault="003258B5" w:rsidP="003258B5">
      <w:pPr>
        <w:widowControl w:val="0"/>
        <w:autoSpaceDE w:val="0"/>
        <w:autoSpaceDN w:val="0"/>
        <w:adjustRightInd w:val="0"/>
        <w:spacing w:line="255" w:lineRule="atLeast"/>
        <w:jc w:val="both"/>
        <w:rPr>
          <w:b/>
          <w:color w:val="000000"/>
          <w:sz w:val="22"/>
          <w:szCs w:val="22"/>
          <w:lang w:val="sr-Cyrl-CS"/>
        </w:rPr>
      </w:pPr>
      <w:r w:rsidRPr="004E264D">
        <w:rPr>
          <w:b/>
          <w:color w:val="000000"/>
          <w:sz w:val="22"/>
          <w:szCs w:val="22"/>
        </w:rPr>
        <w:t xml:space="preserve">Право на учешће </w:t>
      </w:r>
      <w:r w:rsidR="00E06889" w:rsidRPr="004E264D">
        <w:rPr>
          <w:b/>
          <w:color w:val="000000"/>
          <w:sz w:val="22"/>
          <w:szCs w:val="22"/>
        </w:rPr>
        <w:t xml:space="preserve">у продаји </w:t>
      </w:r>
      <w:r w:rsidRPr="004E264D">
        <w:rPr>
          <w:b/>
          <w:color w:val="000000"/>
          <w:sz w:val="22"/>
          <w:szCs w:val="22"/>
        </w:rPr>
        <w:t>имају сва правна и физичка лица која:</w:t>
      </w:r>
    </w:p>
    <w:p w:rsidR="003258B5" w:rsidRPr="004E264D" w:rsidRDefault="003258B5" w:rsidP="003258B5">
      <w:pPr>
        <w:widowControl w:val="0"/>
        <w:autoSpaceDE w:val="0"/>
        <w:autoSpaceDN w:val="0"/>
        <w:adjustRightInd w:val="0"/>
        <w:spacing w:line="255" w:lineRule="atLeast"/>
        <w:ind w:firstLine="720"/>
        <w:jc w:val="both"/>
        <w:rPr>
          <w:b/>
          <w:color w:val="000000"/>
          <w:sz w:val="22"/>
          <w:szCs w:val="22"/>
        </w:rPr>
      </w:pPr>
      <w:r w:rsidRPr="004E264D">
        <w:rPr>
          <w:b/>
          <w:color w:val="000000"/>
          <w:sz w:val="22"/>
          <w:szCs w:val="22"/>
        </w:rPr>
        <w:t>1.  након добијања профактуре, откуп</w:t>
      </w:r>
      <w:r w:rsidR="00466D94" w:rsidRPr="004E264D">
        <w:rPr>
          <w:b/>
          <w:color w:val="000000"/>
          <w:sz w:val="22"/>
          <w:szCs w:val="22"/>
        </w:rPr>
        <w:t>е  продајну  документацију</w:t>
      </w:r>
      <w:r w:rsidRPr="004E264D">
        <w:rPr>
          <w:b/>
          <w:color w:val="000000"/>
          <w:sz w:val="22"/>
          <w:szCs w:val="22"/>
        </w:rPr>
        <w:t xml:space="preserve"> у износу од </w:t>
      </w:r>
      <w:r w:rsidR="004577F7" w:rsidRPr="004E264D">
        <w:rPr>
          <w:b/>
          <w:color w:val="000000"/>
          <w:sz w:val="22"/>
          <w:szCs w:val="22"/>
          <w:lang w:val="sr-Cyrl-CS"/>
        </w:rPr>
        <w:t>30</w:t>
      </w:r>
      <w:r w:rsidRPr="004E264D">
        <w:rPr>
          <w:b/>
          <w:color w:val="000000"/>
          <w:sz w:val="22"/>
          <w:szCs w:val="22"/>
          <w:lang w:val="sr-Cyrl-CS"/>
        </w:rPr>
        <w:t>.000,00</w:t>
      </w:r>
      <w:r w:rsidRPr="004E264D">
        <w:rPr>
          <w:b/>
          <w:color w:val="000000"/>
          <w:sz w:val="22"/>
          <w:szCs w:val="22"/>
        </w:rPr>
        <w:t xml:space="preserve"> динара</w:t>
      </w:r>
      <w:r w:rsidRPr="004E264D">
        <w:rPr>
          <w:b/>
          <w:color w:val="000000"/>
          <w:sz w:val="22"/>
          <w:szCs w:val="22"/>
          <w:lang w:val="sr-Cyrl-CS"/>
        </w:rPr>
        <w:t xml:space="preserve"> за целину 1</w:t>
      </w:r>
      <w:r w:rsidR="00BB2784" w:rsidRPr="004E264D">
        <w:rPr>
          <w:b/>
          <w:color w:val="000000"/>
          <w:sz w:val="22"/>
          <w:szCs w:val="22"/>
          <w:lang w:val="sr-Cyrl-CS"/>
        </w:rPr>
        <w:t>,</w:t>
      </w:r>
      <w:r w:rsidR="004E264D" w:rsidRPr="004E264D">
        <w:rPr>
          <w:b/>
          <w:color w:val="000000"/>
          <w:sz w:val="22"/>
          <w:szCs w:val="22"/>
          <w:lang w:val="sr-Cyrl-CS"/>
        </w:rPr>
        <w:t xml:space="preserve"> </w:t>
      </w:r>
      <w:r w:rsidR="004E264D">
        <w:rPr>
          <w:b/>
          <w:color w:val="000000"/>
          <w:sz w:val="22"/>
          <w:szCs w:val="22"/>
          <w:lang w:val="sr-Cyrl-CS"/>
        </w:rPr>
        <w:t xml:space="preserve"> </w:t>
      </w:r>
      <w:r w:rsidR="00EE6849" w:rsidRPr="004E264D">
        <w:rPr>
          <w:b/>
          <w:color w:val="000000"/>
          <w:sz w:val="22"/>
          <w:szCs w:val="22"/>
          <w:lang w:val="sr-Cyrl-CS"/>
        </w:rPr>
        <w:t>10.000,00 динара за целину</w:t>
      </w:r>
      <w:r w:rsidR="004E264D" w:rsidRPr="004E264D">
        <w:rPr>
          <w:b/>
          <w:color w:val="000000"/>
          <w:sz w:val="22"/>
          <w:szCs w:val="22"/>
          <w:lang w:val="sr-Cyrl-CS"/>
        </w:rPr>
        <w:t xml:space="preserve"> </w:t>
      </w:r>
      <w:r w:rsidR="004577F7" w:rsidRPr="004E264D">
        <w:rPr>
          <w:b/>
          <w:color w:val="000000"/>
          <w:sz w:val="22"/>
          <w:szCs w:val="22"/>
          <w:lang w:val="sr-Cyrl-CS"/>
        </w:rPr>
        <w:t>2</w:t>
      </w:r>
      <w:r w:rsidR="00EE6849" w:rsidRPr="004E264D">
        <w:rPr>
          <w:b/>
          <w:color w:val="000000"/>
          <w:sz w:val="22"/>
          <w:szCs w:val="22"/>
          <w:lang w:val="sr-Cyrl-CS"/>
        </w:rPr>
        <w:t>,</w:t>
      </w:r>
      <w:r w:rsidR="00FE0C4D" w:rsidRPr="004E264D">
        <w:rPr>
          <w:b/>
          <w:color w:val="000000"/>
          <w:sz w:val="22"/>
          <w:szCs w:val="22"/>
          <w:lang w:val="sr-Cyrl-CS"/>
        </w:rPr>
        <w:t xml:space="preserve"> а за целине:</w:t>
      </w:r>
      <w:r w:rsidR="004E264D" w:rsidRPr="004E264D">
        <w:rPr>
          <w:b/>
          <w:color w:val="000000"/>
          <w:sz w:val="22"/>
          <w:szCs w:val="22"/>
          <w:lang w:val="sr-Cyrl-CS"/>
        </w:rPr>
        <w:t xml:space="preserve"> 3 и </w:t>
      </w:r>
      <w:r w:rsidR="004577F7" w:rsidRPr="004E264D">
        <w:rPr>
          <w:b/>
          <w:color w:val="000000"/>
          <w:sz w:val="22"/>
          <w:szCs w:val="22"/>
          <w:lang w:val="sr-Cyrl-CS"/>
        </w:rPr>
        <w:t xml:space="preserve">4. </w:t>
      </w:r>
      <w:r w:rsidRPr="004E264D">
        <w:rPr>
          <w:b/>
          <w:color w:val="000000"/>
          <w:sz w:val="22"/>
          <w:szCs w:val="22"/>
          <w:lang w:val="sr-Cyrl-CS"/>
        </w:rPr>
        <w:t xml:space="preserve"> у износу од </w:t>
      </w:r>
      <w:r w:rsidR="00CB7624" w:rsidRPr="004E264D">
        <w:rPr>
          <w:b/>
          <w:color w:val="000000"/>
          <w:sz w:val="22"/>
          <w:szCs w:val="22"/>
          <w:lang w:val="sr-Cyrl-CS"/>
        </w:rPr>
        <w:t xml:space="preserve"> по </w:t>
      </w:r>
      <w:r w:rsidR="004577F7" w:rsidRPr="004E264D">
        <w:rPr>
          <w:b/>
          <w:color w:val="000000"/>
          <w:sz w:val="22"/>
          <w:szCs w:val="22"/>
          <w:lang w:val="sr-Cyrl-CS"/>
        </w:rPr>
        <w:t>5</w:t>
      </w:r>
      <w:r w:rsidR="00B62551" w:rsidRPr="004E264D">
        <w:rPr>
          <w:b/>
          <w:color w:val="000000"/>
          <w:sz w:val="22"/>
          <w:szCs w:val="22"/>
        </w:rPr>
        <w:t>.</w:t>
      </w:r>
      <w:r w:rsidRPr="004E264D">
        <w:rPr>
          <w:b/>
          <w:color w:val="000000"/>
          <w:sz w:val="22"/>
          <w:szCs w:val="22"/>
          <w:lang w:val="sr-Cyrl-CS"/>
        </w:rPr>
        <w:t>000,00 динара</w:t>
      </w:r>
      <w:r w:rsidR="004E264D" w:rsidRPr="004E264D">
        <w:rPr>
          <w:b/>
          <w:color w:val="000000"/>
          <w:sz w:val="22"/>
          <w:szCs w:val="22"/>
          <w:lang w:val="sr-Cyrl-CS"/>
        </w:rPr>
        <w:t xml:space="preserve"> </w:t>
      </w:r>
      <w:r w:rsidRPr="004E264D">
        <w:rPr>
          <w:b/>
          <w:color w:val="000000"/>
          <w:sz w:val="22"/>
          <w:szCs w:val="22"/>
        </w:rPr>
        <w:t>(</w:t>
      </w:r>
      <w:r w:rsidRPr="004E264D">
        <w:rPr>
          <w:b/>
          <w:color w:val="000000"/>
          <w:sz w:val="22"/>
          <w:szCs w:val="22"/>
          <w:lang w:val="sr-Cyrl-CS"/>
        </w:rPr>
        <w:t>Цене су без ПДВ-а</w:t>
      </w:r>
      <w:r w:rsidR="00FE0C4D" w:rsidRPr="004E264D">
        <w:rPr>
          <w:b/>
          <w:color w:val="000000"/>
          <w:sz w:val="22"/>
          <w:szCs w:val="22"/>
          <w:lang w:val="sr-Cyrl-CS"/>
        </w:rPr>
        <w:t>)</w:t>
      </w:r>
      <w:r w:rsidR="00EE6849" w:rsidRPr="004E264D">
        <w:rPr>
          <w:b/>
          <w:color w:val="000000"/>
          <w:sz w:val="22"/>
          <w:szCs w:val="22"/>
          <w:lang w:val="sr-Cyrl-CS"/>
        </w:rPr>
        <w:t>.</w:t>
      </w:r>
      <w:r w:rsidRPr="004E264D">
        <w:rPr>
          <w:b/>
          <w:color w:val="000000"/>
          <w:sz w:val="22"/>
          <w:szCs w:val="22"/>
          <w:lang w:val="sr-Cyrl-CS"/>
        </w:rPr>
        <w:t xml:space="preserve"> П</w:t>
      </w:r>
      <w:r w:rsidRPr="004E264D">
        <w:rPr>
          <w:b/>
          <w:color w:val="000000"/>
          <w:sz w:val="22"/>
          <w:szCs w:val="22"/>
        </w:rPr>
        <w:t xml:space="preserve">рофактура се може преузети сваког радног дана у периоду од  </w:t>
      </w:r>
      <w:r w:rsidRPr="004E264D">
        <w:rPr>
          <w:b/>
          <w:color w:val="000000"/>
          <w:sz w:val="22"/>
          <w:szCs w:val="22"/>
          <w:lang w:val="sr-Cyrl-CS"/>
        </w:rPr>
        <w:t>09,00</w:t>
      </w:r>
      <w:r w:rsidRPr="004E264D">
        <w:rPr>
          <w:b/>
          <w:color w:val="000000"/>
          <w:sz w:val="22"/>
          <w:szCs w:val="22"/>
        </w:rPr>
        <w:t xml:space="preserve"> до </w:t>
      </w:r>
      <w:r w:rsidRPr="004E264D">
        <w:rPr>
          <w:b/>
          <w:color w:val="000000"/>
          <w:sz w:val="22"/>
          <w:szCs w:val="22"/>
          <w:lang w:val="sr-Cyrl-CS"/>
        </w:rPr>
        <w:t>14,00</w:t>
      </w:r>
      <w:r w:rsidRPr="004E264D">
        <w:rPr>
          <w:b/>
          <w:color w:val="000000"/>
          <w:sz w:val="22"/>
          <w:szCs w:val="22"/>
        </w:rPr>
        <w:t xml:space="preserve"> часова</w:t>
      </w:r>
      <w:r w:rsidR="00466D94" w:rsidRPr="004E264D">
        <w:rPr>
          <w:b/>
          <w:color w:val="000000"/>
          <w:sz w:val="22"/>
          <w:szCs w:val="22"/>
        </w:rPr>
        <w:t>,</w:t>
      </w:r>
      <w:r w:rsidRPr="004E264D">
        <w:rPr>
          <w:b/>
          <w:color w:val="000000"/>
          <w:sz w:val="22"/>
          <w:szCs w:val="22"/>
        </w:rPr>
        <w:t xml:space="preserve"> у просторијама </w:t>
      </w:r>
      <w:r w:rsidR="004577F7" w:rsidRPr="004E264D">
        <w:rPr>
          <w:b/>
          <w:color w:val="000000"/>
          <w:sz w:val="22"/>
          <w:szCs w:val="22"/>
        </w:rPr>
        <w:t xml:space="preserve"> стечајног управника у Горњем Милановцу</w:t>
      </w:r>
      <w:r w:rsidR="00466D94" w:rsidRPr="004E264D">
        <w:rPr>
          <w:b/>
          <w:color w:val="000000"/>
          <w:sz w:val="22"/>
          <w:szCs w:val="22"/>
        </w:rPr>
        <w:t xml:space="preserve">, Кнеза Александра 102/16, </w:t>
      </w:r>
      <w:r w:rsidR="00BB2784" w:rsidRPr="004E264D">
        <w:rPr>
          <w:b/>
          <w:color w:val="000000"/>
          <w:sz w:val="22"/>
          <w:szCs w:val="22"/>
        </w:rPr>
        <w:t xml:space="preserve">контак телефон : </w:t>
      </w:r>
      <w:r w:rsidR="00466D94" w:rsidRPr="004E264D">
        <w:rPr>
          <w:b/>
          <w:color w:val="000000"/>
          <w:sz w:val="22"/>
          <w:szCs w:val="22"/>
          <w:lang w:val="sr-Cyrl-CS"/>
        </w:rPr>
        <w:t>063/173 8446.</w:t>
      </w:r>
    </w:p>
    <w:p w:rsidR="003258B5" w:rsidRPr="004E264D" w:rsidRDefault="003258B5" w:rsidP="003258B5">
      <w:pPr>
        <w:widowControl w:val="0"/>
        <w:autoSpaceDE w:val="0"/>
        <w:autoSpaceDN w:val="0"/>
        <w:adjustRightInd w:val="0"/>
        <w:spacing w:line="255" w:lineRule="atLeast"/>
        <w:ind w:firstLine="720"/>
        <w:jc w:val="both"/>
        <w:rPr>
          <w:b/>
          <w:color w:val="000000"/>
          <w:sz w:val="22"/>
          <w:szCs w:val="22"/>
          <w:lang w:val="sr-Cyrl-CS"/>
        </w:rPr>
      </w:pPr>
      <w:r w:rsidRPr="004E264D">
        <w:rPr>
          <w:b/>
          <w:color w:val="000000"/>
          <w:sz w:val="22"/>
          <w:szCs w:val="22"/>
          <w:lang w:val="sr-Cyrl-CS"/>
        </w:rPr>
        <w:t xml:space="preserve">2.  </w:t>
      </w:r>
      <w:r w:rsidRPr="004E264D">
        <w:rPr>
          <w:b/>
          <w:sz w:val="22"/>
          <w:szCs w:val="22"/>
          <w:lang w:val="sr-Cyrl-CS"/>
        </w:rPr>
        <w:t xml:space="preserve">уплате </w:t>
      </w:r>
      <w:r w:rsidRPr="004E264D">
        <w:rPr>
          <w:b/>
          <w:bCs/>
          <w:sz w:val="22"/>
          <w:szCs w:val="22"/>
          <w:lang w:val="sr-Cyrl-CS"/>
        </w:rPr>
        <w:t>депозит</w:t>
      </w:r>
      <w:r w:rsidR="004E264D">
        <w:rPr>
          <w:b/>
          <w:bCs/>
          <w:sz w:val="22"/>
          <w:szCs w:val="22"/>
          <w:lang w:val="sr-Cyrl-CS"/>
        </w:rPr>
        <w:t xml:space="preserve"> </w:t>
      </w:r>
      <w:r w:rsidRPr="004E264D">
        <w:rPr>
          <w:b/>
          <w:sz w:val="22"/>
          <w:szCs w:val="22"/>
        </w:rPr>
        <w:t>на текући рачун</w:t>
      </w:r>
      <w:r w:rsidRPr="004E264D">
        <w:rPr>
          <w:b/>
          <w:sz w:val="22"/>
          <w:szCs w:val="22"/>
          <w:lang w:val="sr-Cyrl-CS"/>
        </w:rPr>
        <w:t xml:space="preserve"> стечајног дужника</w:t>
      </w:r>
      <w:r w:rsidRPr="004E264D">
        <w:rPr>
          <w:b/>
          <w:sz w:val="22"/>
          <w:szCs w:val="22"/>
        </w:rPr>
        <w:t xml:space="preserve"> бр. </w:t>
      </w:r>
      <w:r w:rsidR="004577F7" w:rsidRPr="004E264D">
        <w:rPr>
          <w:b/>
          <w:sz w:val="22"/>
          <w:szCs w:val="22"/>
          <w:lang w:val="sr-Cyrl-CS"/>
        </w:rPr>
        <w:t>155-31291-33</w:t>
      </w:r>
      <w:r w:rsidRPr="004E264D">
        <w:rPr>
          <w:b/>
          <w:sz w:val="22"/>
          <w:szCs w:val="22"/>
          <w:lang w:val="sr-Cyrl-CS"/>
        </w:rPr>
        <w:t xml:space="preserve"> код </w:t>
      </w:r>
      <w:r w:rsidR="004577F7" w:rsidRPr="004E264D">
        <w:rPr>
          <w:b/>
          <w:sz w:val="22"/>
          <w:szCs w:val="22"/>
          <w:lang w:val="sr-Cyrl-CS"/>
        </w:rPr>
        <w:t>Халк</w:t>
      </w:r>
      <w:r w:rsidR="00466D94" w:rsidRPr="004E264D">
        <w:rPr>
          <w:b/>
          <w:sz w:val="22"/>
          <w:szCs w:val="22"/>
          <w:lang w:val="sr-Cyrl-CS"/>
        </w:rPr>
        <w:t xml:space="preserve"> банке ад Београд, </w:t>
      </w:r>
      <w:r w:rsidRPr="004E264D">
        <w:rPr>
          <w:b/>
          <w:sz w:val="22"/>
          <w:szCs w:val="22"/>
          <w:lang w:val="sr-Cyrl-CS"/>
        </w:rPr>
        <w:t>у висини износа депозита означеног у горњој табели</w:t>
      </w:r>
      <w:r w:rsidR="00EE6849" w:rsidRPr="004E264D">
        <w:rPr>
          <w:b/>
          <w:sz w:val="22"/>
          <w:szCs w:val="22"/>
          <w:lang w:val="sr-Cyrl-CS"/>
        </w:rPr>
        <w:t>,</w:t>
      </w:r>
      <w:r w:rsidRPr="004E264D">
        <w:rPr>
          <w:b/>
          <w:sz w:val="22"/>
          <w:szCs w:val="22"/>
          <w:lang w:val="sr-Cyrl-CS"/>
        </w:rPr>
        <w:t xml:space="preserve"> са позивом на редни број </w:t>
      </w:r>
      <w:r w:rsidR="00EE6849" w:rsidRPr="004E264D">
        <w:rPr>
          <w:b/>
          <w:sz w:val="22"/>
          <w:szCs w:val="22"/>
          <w:lang w:val="sr-Cyrl-CS"/>
        </w:rPr>
        <w:t>целине</w:t>
      </w:r>
      <w:r w:rsidRPr="004E264D">
        <w:rPr>
          <w:b/>
          <w:sz w:val="22"/>
          <w:szCs w:val="22"/>
          <w:lang w:val="sr-Cyrl-CS"/>
        </w:rPr>
        <w:t xml:space="preserve"> из огласа</w:t>
      </w:r>
      <w:r w:rsidR="00EE6849" w:rsidRPr="004E264D">
        <w:rPr>
          <w:b/>
          <w:sz w:val="22"/>
          <w:szCs w:val="22"/>
          <w:lang w:val="sr-Cyrl-CS"/>
        </w:rPr>
        <w:t>,</w:t>
      </w:r>
      <w:r w:rsidR="004E264D">
        <w:rPr>
          <w:b/>
          <w:sz w:val="22"/>
          <w:szCs w:val="22"/>
          <w:lang w:val="sr-Cyrl-CS"/>
        </w:rPr>
        <w:t xml:space="preserve"> </w:t>
      </w:r>
      <w:r w:rsidRPr="004E264D">
        <w:rPr>
          <w:b/>
          <w:color w:val="000000"/>
          <w:sz w:val="22"/>
          <w:szCs w:val="22"/>
          <w:lang w:val="sr-Cyrl-CS"/>
        </w:rPr>
        <w:t>најкасније 5 радних дана пре одржавања продаје (</w:t>
      </w:r>
      <w:r w:rsidRPr="004E264D">
        <w:rPr>
          <w:b/>
          <w:i/>
          <w:color w:val="000000"/>
          <w:sz w:val="22"/>
          <w:szCs w:val="22"/>
          <w:lang w:val="sr-Cyrl-CS"/>
        </w:rPr>
        <w:t>рок за уплату депозита је</w:t>
      </w:r>
      <w:r w:rsidR="004E264D">
        <w:rPr>
          <w:b/>
          <w:i/>
          <w:color w:val="000000"/>
          <w:sz w:val="22"/>
          <w:szCs w:val="22"/>
          <w:lang w:val="sr-Cyrl-CS"/>
        </w:rPr>
        <w:t xml:space="preserve"> 04.07.</w:t>
      </w:r>
      <w:r w:rsidR="004577F7" w:rsidRPr="004E264D">
        <w:rPr>
          <w:b/>
          <w:i/>
          <w:color w:val="000000"/>
          <w:sz w:val="22"/>
          <w:szCs w:val="22"/>
          <w:lang w:val="sr-Cyrl-CS"/>
        </w:rPr>
        <w:t>2018</w:t>
      </w:r>
      <w:r w:rsidR="00466D94" w:rsidRPr="004E264D">
        <w:rPr>
          <w:b/>
          <w:i/>
          <w:color w:val="000000"/>
          <w:sz w:val="22"/>
          <w:szCs w:val="22"/>
          <w:lang w:val="sr-Cyrl-CS"/>
        </w:rPr>
        <w:t>)</w:t>
      </w:r>
      <w:r w:rsidRPr="004E264D">
        <w:rPr>
          <w:b/>
          <w:i/>
          <w:color w:val="000000"/>
          <w:sz w:val="22"/>
          <w:szCs w:val="22"/>
          <w:lang w:val="sr-Cyrl-CS"/>
        </w:rPr>
        <w:t>.</w:t>
      </w:r>
      <w:r w:rsidR="00201A83" w:rsidRPr="004E264D">
        <w:rPr>
          <w:b/>
          <w:sz w:val="22"/>
          <w:szCs w:val="22"/>
          <w:lang w:val="sr-Cyrl-CS"/>
        </w:rPr>
        <w:t>У случају да се као депозит положи првокласна банкарска гаранција, ор</w:t>
      </w:r>
      <w:r w:rsidR="00201A83" w:rsidRPr="004E264D">
        <w:rPr>
          <w:b/>
          <w:sz w:val="22"/>
          <w:szCs w:val="22"/>
        </w:rPr>
        <w:t>и</w:t>
      </w:r>
      <w:r w:rsidR="00201A83" w:rsidRPr="004E264D">
        <w:rPr>
          <w:b/>
          <w:sz w:val="22"/>
          <w:szCs w:val="22"/>
          <w:lang w:val="sr-Cyrl-CS"/>
        </w:rPr>
        <w:t>гинал исте се ради провере мора доставити</w:t>
      </w:r>
      <w:r w:rsidR="00FD4BC5">
        <w:rPr>
          <w:b/>
          <w:sz w:val="22"/>
          <w:szCs w:val="22"/>
          <w:lang w:val="sr-Cyrl-CS"/>
        </w:rPr>
        <w:t xml:space="preserve"> </w:t>
      </w:r>
      <w:r w:rsidR="00201A83" w:rsidRPr="004E264D">
        <w:rPr>
          <w:b/>
          <w:sz w:val="22"/>
          <w:szCs w:val="22"/>
          <w:lang w:val="sr-Cyrl-CS"/>
        </w:rPr>
        <w:t>искључиво лично стечајном управнику</w:t>
      </w:r>
      <w:r w:rsidR="00EE6849" w:rsidRPr="004E264D">
        <w:rPr>
          <w:b/>
          <w:sz w:val="22"/>
          <w:szCs w:val="22"/>
          <w:lang w:val="sr-Cyrl-CS"/>
        </w:rPr>
        <w:t>,</w:t>
      </w:r>
      <w:r w:rsidR="00201A83" w:rsidRPr="004E264D">
        <w:rPr>
          <w:b/>
          <w:sz w:val="22"/>
          <w:szCs w:val="22"/>
          <w:lang w:val="sr-Cyrl-CS"/>
        </w:rPr>
        <w:t xml:space="preserve"> у року од пет дана пре одржавања продаје</w:t>
      </w:r>
      <w:r w:rsidR="00EE6849" w:rsidRPr="004E264D">
        <w:rPr>
          <w:b/>
          <w:sz w:val="22"/>
          <w:szCs w:val="22"/>
          <w:lang w:val="sr-Cyrl-CS"/>
        </w:rPr>
        <w:t xml:space="preserve">. Банкарска гаранција мора имати рок важења 40 дана од дана продаје, односно до </w:t>
      </w:r>
      <w:r w:rsidR="00FD4BC5">
        <w:rPr>
          <w:b/>
          <w:sz w:val="22"/>
          <w:szCs w:val="22"/>
          <w:lang w:val="sr-Cyrl-CS"/>
        </w:rPr>
        <w:t>20</w:t>
      </w:r>
      <w:r w:rsidR="00EE6849" w:rsidRPr="004E264D">
        <w:rPr>
          <w:b/>
          <w:sz w:val="22"/>
          <w:szCs w:val="22"/>
          <w:lang w:val="sr-Cyrl-CS"/>
        </w:rPr>
        <w:t>.0</w:t>
      </w:r>
      <w:r w:rsidR="00FD4BC5">
        <w:rPr>
          <w:b/>
          <w:sz w:val="22"/>
          <w:szCs w:val="22"/>
          <w:lang w:val="sr-Cyrl-CS"/>
        </w:rPr>
        <w:t>8</w:t>
      </w:r>
      <w:r w:rsidR="00EE6849" w:rsidRPr="004E264D">
        <w:rPr>
          <w:b/>
          <w:sz w:val="22"/>
          <w:szCs w:val="22"/>
          <w:lang w:val="sr-Cyrl-CS"/>
        </w:rPr>
        <w:t>.2018. године.</w:t>
      </w:r>
    </w:p>
    <w:p w:rsidR="003258B5" w:rsidRPr="004E264D" w:rsidRDefault="003258B5" w:rsidP="00973382">
      <w:pPr>
        <w:widowControl w:val="0"/>
        <w:autoSpaceDE w:val="0"/>
        <w:autoSpaceDN w:val="0"/>
        <w:adjustRightInd w:val="0"/>
        <w:spacing w:line="255" w:lineRule="atLeast"/>
        <w:ind w:firstLine="720"/>
        <w:jc w:val="both"/>
        <w:rPr>
          <w:b/>
          <w:color w:val="000000"/>
          <w:sz w:val="22"/>
          <w:szCs w:val="22"/>
        </w:rPr>
      </w:pPr>
      <w:r w:rsidRPr="004E264D">
        <w:rPr>
          <w:b/>
          <w:color w:val="000000"/>
          <w:sz w:val="22"/>
          <w:szCs w:val="22"/>
        </w:rPr>
        <w:t xml:space="preserve">3. потпишу изјаву о губитку права на враћање депозита </w:t>
      </w:r>
      <w:r w:rsidR="00973382" w:rsidRPr="004E264D">
        <w:rPr>
          <w:b/>
          <w:color w:val="000000"/>
          <w:sz w:val="22"/>
          <w:szCs w:val="22"/>
        </w:rPr>
        <w:t xml:space="preserve">и уговор о чувању поверљивих података </w:t>
      </w:r>
      <w:r w:rsidRPr="004E264D">
        <w:rPr>
          <w:b/>
          <w:color w:val="000000"/>
          <w:sz w:val="22"/>
          <w:szCs w:val="22"/>
          <w:lang w:val="sr-Cyrl-CS"/>
        </w:rPr>
        <w:t>(</w:t>
      </w:r>
      <w:r w:rsidR="00973382" w:rsidRPr="004E264D">
        <w:rPr>
          <w:b/>
          <w:color w:val="000000"/>
          <w:sz w:val="22"/>
          <w:szCs w:val="22"/>
          <w:lang w:val="sr-Cyrl-CS"/>
        </w:rPr>
        <w:t xml:space="preserve">који </w:t>
      </w:r>
      <w:r w:rsidR="00973382" w:rsidRPr="004E264D">
        <w:rPr>
          <w:b/>
          <w:color w:val="000000"/>
          <w:sz w:val="22"/>
          <w:szCs w:val="22"/>
        </w:rPr>
        <w:t>чине</w:t>
      </w:r>
      <w:r w:rsidRPr="004E264D">
        <w:rPr>
          <w:b/>
          <w:color w:val="000000"/>
          <w:sz w:val="22"/>
          <w:szCs w:val="22"/>
        </w:rPr>
        <w:t xml:space="preserve"> саставни део продајне документације</w:t>
      </w:r>
      <w:r w:rsidR="00973382" w:rsidRPr="004E264D">
        <w:rPr>
          <w:b/>
          <w:color w:val="000000"/>
          <w:sz w:val="22"/>
          <w:szCs w:val="22"/>
        </w:rPr>
        <w:t>,</w:t>
      </w:r>
    </w:p>
    <w:p w:rsidR="003258B5" w:rsidRPr="004E264D" w:rsidRDefault="003258B5" w:rsidP="003258B5">
      <w:pPr>
        <w:widowControl w:val="0"/>
        <w:autoSpaceDE w:val="0"/>
        <w:autoSpaceDN w:val="0"/>
        <w:adjustRightInd w:val="0"/>
        <w:spacing w:line="255" w:lineRule="atLeast"/>
        <w:jc w:val="both"/>
        <w:rPr>
          <w:b/>
          <w:color w:val="000000"/>
          <w:sz w:val="22"/>
          <w:szCs w:val="22"/>
          <w:lang w:val="sr-Cyrl-CS"/>
        </w:rPr>
      </w:pPr>
    </w:p>
    <w:p w:rsidR="003258B5" w:rsidRDefault="003258B5" w:rsidP="003258B5">
      <w:pPr>
        <w:widowControl w:val="0"/>
        <w:autoSpaceDE w:val="0"/>
        <w:autoSpaceDN w:val="0"/>
        <w:adjustRightInd w:val="0"/>
        <w:spacing w:line="255" w:lineRule="atLeast"/>
        <w:jc w:val="both"/>
        <w:rPr>
          <w:b/>
          <w:color w:val="000000"/>
          <w:sz w:val="22"/>
          <w:szCs w:val="22"/>
        </w:rPr>
      </w:pPr>
      <w:r w:rsidRPr="004E264D">
        <w:rPr>
          <w:b/>
          <w:color w:val="000000"/>
          <w:sz w:val="22"/>
          <w:szCs w:val="22"/>
        </w:rPr>
        <w:t>Након уплате депозита</w:t>
      </w:r>
      <w:r w:rsidR="00973382" w:rsidRPr="004E264D">
        <w:rPr>
          <w:b/>
          <w:color w:val="000000"/>
          <w:sz w:val="22"/>
          <w:szCs w:val="22"/>
        </w:rPr>
        <w:t>,</w:t>
      </w:r>
      <w:r w:rsidRPr="004E264D">
        <w:rPr>
          <w:b/>
          <w:color w:val="000000"/>
          <w:sz w:val="22"/>
          <w:szCs w:val="22"/>
        </w:rPr>
        <w:t xml:space="preserve"> а најкасније </w:t>
      </w:r>
      <w:r w:rsidR="00201A83" w:rsidRPr="004E264D">
        <w:rPr>
          <w:b/>
          <w:color w:val="000000"/>
          <w:sz w:val="22"/>
          <w:szCs w:val="22"/>
        </w:rPr>
        <w:t xml:space="preserve">пет </w:t>
      </w:r>
      <w:r w:rsidR="00BB2784" w:rsidRPr="004E264D">
        <w:rPr>
          <w:b/>
          <w:color w:val="000000"/>
          <w:sz w:val="22"/>
          <w:szCs w:val="22"/>
        </w:rPr>
        <w:t xml:space="preserve">дана </w:t>
      </w:r>
      <w:r w:rsidRPr="004E264D">
        <w:rPr>
          <w:b/>
          <w:color w:val="000000"/>
          <w:sz w:val="22"/>
          <w:szCs w:val="22"/>
        </w:rPr>
        <w:t xml:space="preserve">пре одржавања јавног надметања, потенцијални купци, ради правовремене евиденције, морају предати </w:t>
      </w:r>
      <w:r w:rsidRPr="004E264D">
        <w:rPr>
          <w:b/>
          <w:color w:val="000000"/>
          <w:sz w:val="22"/>
          <w:szCs w:val="22"/>
          <w:lang w:val="sr-Cyrl-CS"/>
        </w:rPr>
        <w:t xml:space="preserve">стечајном управнику </w:t>
      </w:r>
      <w:r w:rsidR="00973382" w:rsidRPr="004E264D">
        <w:rPr>
          <w:b/>
          <w:color w:val="000000"/>
          <w:sz w:val="22"/>
          <w:szCs w:val="22"/>
        </w:rPr>
        <w:t xml:space="preserve">образац пријаве за учешће на јавном надметању, потписан лично или од страрне овлашћеног лица, као и доказ о овлашћеном лицу, </w:t>
      </w:r>
      <w:r w:rsidRPr="004E264D">
        <w:rPr>
          <w:b/>
          <w:color w:val="000000"/>
          <w:sz w:val="22"/>
          <w:szCs w:val="22"/>
        </w:rPr>
        <w:t>доказ о уплати депозита или копију банкарске гаранције, потписану изјаву о губитку права на враћање депозита, извод из регистра привредних субјеката</w:t>
      </w:r>
      <w:r w:rsidR="00973382" w:rsidRPr="004E264D">
        <w:rPr>
          <w:b/>
          <w:color w:val="000000"/>
          <w:sz w:val="22"/>
          <w:szCs w:val="22"/>
        </w:rPr>
        <w:t>,</w:t>
      </w:r>
      <w:r w:rsidRPr="004E264D">
        <w:rPr>
          <w:b/>
          <w:color w:val="000000"/>
          <w:sz w:val="22"/>
          <w:szCs w:val="22"/>
        </w:rPr>
        <w:t xml:space="preserve"> ако се као потенцијални купац пријављује правно лице.</w:t>
      </w:r>
    </w:p>
    <w:p w:rsidR="00FD4BC5" w:rsidRPr="00FD4BC5" w:rsidRDefault="00FD4BC5" w:rsidP="003258B5">
      <w:pPr>
        <w:widowControl w:val="0"/>
        <w:autoSpaceDE w:val="0"/>
        <w:autoSpaceDN w:val="0"/>
        <w:adjustRightInd w:val="0"/>
        <w:spacing w:line="255" w:lineRule="atLeast"/>
        <w:jc w:val="both"/>
        <w:rPr>
          <w:b/>
          <w:color w:val="000000"/>
          <w:sz w:val="22"/>
          <w:szCs w:val="22"/>
        </w:rPr>
      </w:pPr>
    </w:p>
    <w:p w:rsidR="00973382" w:rsidRPr="004E264D" w:rsidRDefault="00973382" w:rsidP="00973382">
      <w:pPr>
        <w:jc w:val="both"/>
        <w:rPr>
          <w:b/>
          <w:sz w:val="22"/>
          <w:szCs w:val="22"/>
          <w:lang w:val="sr-Cyrl-CS"/>
        </w:rPr>
      </w:pPr>
      <w:r w:rsidRPr="004E264D">
        <w:rPr>
          <w:b/>
          <w:sz w:val="22"/>
          <w:szCs w:val="22"/>
          <w:lang w:val="sr-Cyrl-CS"/>
        </w:rPr>
        <w:t xml:space="preserve">Имовина се купује у виђеном стању и може се разгледати након откупа продајне документације, </w:t>
      </w:r>
      <w:r w:rsidRPr="004E264D">
        <w:rPr>
          <w:b/>
          <w:sz w:val="22"/>
          <w:szCs w:val="22"/>
          <w:lang w:val="ru-RU"/>
        </w:rPr>
        <w:t xml:space="preserve">у договору са стечајним управником, а најкасније </w:t>
      </w:r>
      <w:r w:rsidR="00AC05B0" w:rsidRPr="004E264D">
        <w:rPr>
          <w:b/>
          <w:sz w:val="22"/>
          <w:szCs w:val="22"/>
          <w:lang w:val="sr-Cyrl-CS"/>
        </w:rPr>
        <w:t>10</w:t>
      </w:r>
      <w:r w:rsidR="00FD4BC5">
        <w:rPr>
          <w:b/>
          <w:sz w:val="22"/>
          <w:szCs w:val="22"/>
          <w:lang w:val="sr-Cyrl-CS"/>
        </w:rPr>
        <w:t xml:space="preserve"> </w:t>
      </w:r>
      <w:r w:rsidRPr="004E264D">
        <w:rPr>
          <w:b/>
          <w:sz w:val="22"/>
          <w:szCs w:val="22"/>
          <w:lang w:val="sr-Cyrl-CS"/>
        </w:rPr>
        <w:t>дана пре заказане продаје</w:t>
      </w:r>
      <w:r w:rsidR="00FD4BC5">
        <w:rPr>
          <w:b/>
          <w:sz w:val="22"/>
          <w:szCs w:val="22"/>
          <w:lang w:val="sr-Cyrl-CS"/>
        </w:rPr>
        <w:t xml:space="preserve"> </w:t>
      </w:r>
      <w:r w:rsidRPr="004E264D">
        <w:rPr>
          <w:b/>
          <w:sz w:val="22"/>
          <w:szCs w:val="22"/>
        </w:rPr>
        <w:t>(</w:t>
      </w:r>
      <w:r w:rsidRPr="004E264D">
        <w:rPr>
          <w:b/>
          <w:sz w:val="22"/>
          <w:szCs w:val="22"/>
          <w:lang w:val="ru-RU"/>
        </w:rPr>
        <w:t xml:space="preserve">уз претходну најаву </w:t>
      </w:r>
      <w:r w:rsidR="00466D94" w:rsidRPr="004E264D">
        <w:rPr>
          <w:b/>
          <w:sz w:val="22"/>
          <w:szCs w:val="22"/>
          <w:lang w:val="sr-Cyrl-CS"/>
        </w:rPr>
        <w:t xml:space="preserve">стечајном </w:t>
      </w:r>
      <w:r w:rsidRPr="004E264D">
        <w:rPr>
          <w:b/>
          <w:sz w:val="22"/>
          <w:szCs w:val="22"/>
          <w:lang w:val="sr-Cyrl-CS"/>
        </w:rPr>
        <w:t xml:space="preserve"> управник</w:t>
      </w:r>
      <w:r w:rsidR="00466D94" w:rsidRPr="004E264D">
        <w:rPr>
          <w:b/>
          <w:sz w:val="22"/>
          <w:szCs w:val="22"/>
          <w:lang w:val="sr-Cyrl-CS"/>
        </w:rPr>
        <w:t>у</w:t>
      </w:r>
      <w:r w:rsidRPr="004E264D">
        <w:rPr>
          <w:b/>
          <w:sz w:val="22"/>
          <w:szCs w:val="22"/>
          <w:lang w:val="sr-Cyrl-CS"/>
        </w:rPr>
        <w:t>).</w:t>
      </w:r>
    </w:p>
    <w:p w:rsidR="003258B5" w:rsidRPr="004E264D" w:rsidRDefault="003258B5" w:rsidP="003258B5">
      <w:pPr>
        <w:widowControl w:val="0"/>
        <w:autoSpaceDE w:val="0"/>
        <w:autoSpaceDN w:val="0"/>
        <w:adjustRightInd w:val="0"/>
        <w:spacing w:line="255" w:lineRule="atLeast"/>
        <w:jc w:val="both"/>
        <w:rPr>
          <w:b/>
          <w:color w:val="000000"/>
          <w:sz w:val="22"/>
          <w:szCs w:val="22"/>
          <w:lang w:val="en-US"/>
        </w:rPr>
      </w:pPr>
      <w:r w:rsidRPr="004E264D">
        <w:rPr>
          <w:b/>
          <w:color w:val="000000"/>
          <w:sz w:val="22"/>
          <w:szCs w:val="22"/>
          <w:lang w:val="sr-Cyrl-CS"/>
        </w:rPr>
        <w:br/>
        <w:t xml:space="preserve">Јавно надметање одржаће се дана </w:t>
      </w:r>
      <w:r w:rsidR="00FD4BC5" w:rsidRPr="00FD4BC5">
        <w:rPr>
          <w:b/>
          <w:color w:val="000000"/>
          <w:sz w:val="28"/>
          <w:szCs w:val="28"/>
          <w:lang w:val="sr-Cyrl-CS"/>
        </w:rPr>
        <w:t>09.07</w:t>
      </w:r>
      <w:r w:rsidR="004577F7" w:rsidRPr="00FD4BC5">
        <w:rPr>
          <w:b/>
          <w:color w:val="000000"/>
          <w:sz w:val="28"/>
          <w:szCs w:val="28"/>
          <w:lang w:val="sr-Cyrl-CS"/>
        </w:rPr>
        <w:t>.</w:t>
      </w:r>
      <w:r w:rsidRPr="00FD4BC5">
        <w:rPr>
          <w:b/>
          <w:color w:val="000000"/>
          <w:sz w:val="28"/>
          <w:szCs w:val="28"/>
          <w:lang w:val="sr-Cyrl-CS"/>
        </w:rPr>
        <w:t>2018</w:t>
      </w:r>
      <w:r w:rsidRPr="004E264D">
        <w:rPr>
          <w:b/>
          <w:color w:val="000000"/>
          <w:sz w:val="22"/>
          <w:szCs w:val="22"/>
          <w:lang w:val="sr-Cyrl-CS"/>
        </w:rPr>
        <w:t>. године</w:t>
      </w:r>
      <w:r w:rsidR="00C741E5" w:rsidRPr="004E264D">
        <w:rPr>
          <w:b/>
          <w:color w:val="000000"/>
          <w:sz w:val="22"/>
          <w:szCs w:val="22"/>
        </w:rPr>
        <w:t>,</w:t>
      </w:r>
      <w:r w:rsidRPr="004E264D">
        <w:rPr>
          <w:b/>
          <w:color w:val="000000"/>
          <w:sz w:val="22"/>
          <w:szCs w:val="22"/>
          <w:lang w:val="sr-Cyrl-CS"/>
        </w:rPr>
        <w:t xml:space="preserve">  у 12,00 часова</w:t>
      </w:r>
      <w:r w:rsidR="00FD4BC5">
        <w:rPr>
          <w:b/>
          <w:color w:val="000000"/>
          <w:sz w:val="22"/>
          <w:szCs w:val="22"/>
          <w:lang w:val="sr-Cyrl-CS"/>
        </w:rPr>
        <w:t>,</w:t>
      </w:r>
      <w:r w:rsidRPr="004E264D">
        <w:rPr>
          <w:b/>
          <w:color w:val="000000"/>
          <w:sz w:val="22"/>
          <w:szCs w:val="22"/>
          <w:lang w:val="sr-Cyrl-CS"/>
        </w:rPr>
        <w:t xml:space="preserve"> на  адреси</w:t>
      </w:r>
      <w:r w:rsidR="004577F7" w:rsidRPr="004E264D">
        <w:rPr>
          <w:b/>
          <w:color w:val="000000"/>
          <w:sz w:val="22"/>
          <w:szCs w:val="22"/>
          <w:lang w:val="sr-Cyrl-CS"/>
        </w:rPr>
        <w:t xml:space="preserve"> стечајног дужника</w:t>
      </w:r>
      <w:r w:rsidRPr="004E264D">
        <w:rPr>
          <w:b/>
          <w:color w:val="000000"/>
          <w:sz w:val="22"/>
          <w:szCs w:val="22"/>
          <w:lang w:val="sr-Cyrl-CS"/>
        </w:rPr>
        <w:t xml:space="preserve">: </w:t>
      </w:r>
      <w:r w:rsidR="004577F7" w:rsidRPr="004E264D">
        <w:rPr>
          <w:b/>
          <w:color w:val="000000"/>
          <w:sz w:val="22"/>
          <w:szCs w:val="22"/>
          <w:lang w:val="sr-Cyrl-CS"/>
        </w:rPr>
        <w:t>Лучани, ул Радничка бб</w:t>
      </w:r>
      <w:r w:rsidR="00973382" w:rsidRPr="004E264D">
        <w:rPr>
          <w:b/>
          <w:color w:val="000000"/>
          <w:sz w:val="22"/>
          <w:szCs w:val="22"/>
          <w:lang w:val="sr-Cyrl-CS"/>
        </w:rPr>
        <w:t>.</w:t>
      </w:r>
    </w:p>
    <w:p w:rsidR="003258B5" w:rsidRPr="004E264D" w:rsidRDefault="003258B5" w:rsidP="003258B5">
      <w:pPr>
        <w:widowControl w:val="0"/>
        <w:autoSpaceDE w:val="0"/>
        <w:autoSpaceDN w:val="0"/>
        <w:adjustRightInd w:val="0"/>
        <w:spacing w:line="255" w:lineRule="atLeast"/>
        <w:jc w:val="both"/>
        <w:rPr>
          <w:b/>
          <w:color w:val="000000"/>
          <w:sz w:val="22"/>
          <w:szCs w:val="22"/>
          <w:lang w:val="en-US"/>
        </w:rPr>
      </w:pPr>
      <w:r w:rsidRPr="004E264D">
        <w:rPr>
          <w:b/>
          <w:color w:val="000000"/>
          <w:sz w:val="22"/>
          <w:szCs w:val="22"/>
          <w:lang w:val="sr-Cyrl-CS"/>
        </w:rPr>
        <w:lastRenderedPageBreak/>
        <w:br/>
        <w:t>Регистрација учесника почиње два сата пре почетка јавног надметања</w:t>
      </w:r>
      <w:r w:rsidR="00AC05B0" w:rsidRPr="004E264D">
        <w:rPr>
          <w:b/>
          <w:color w:val="000000"/>
          <w:sz w:val="22"/>
          <w:szCs w:val="22"/>
          <w:lang w:val="sr-Cyrl-CS"/>
        </w:rPr>
        <w:t xml:space="preserve">, </w:t>
      </w:r>
      <w:r w:rsidRPr="004E264D">
        <w:rPr>
          <w:b/>
          <w:color w:val="000000"/>
          <w:sz w:val="22"/>
          <w:szCs w:val="22"/>
          <w:lang w:val="sr-Cyrl-CS"/>
        </w:rPr>
        <w:t xml:space="preserve"> а завршава се 10 минута пре почетка јавног надметања, односно у периоду од 10,00 до 11,50  часова, на истој адреси.</w:t>
      </w:r>
    </w:p>
    <w:p w:rsidR="003258B5" w:rsidRPr="004E264D" w:rsidRDefault="003258B5" w:rsidP="003258B5">
      <w:pPr>
        <w:widowControl w:val="0"/>
        <w:autoSpaceDE w:val="0"/>
        <w:autoSpaceDN w:val="0"/>
        <w:adjustRightInd w:val="0"/>
        <w:spacing w:line="255" w:lineRule="atLeast"/>
        <w:jc w:val="both"/>
        <w:rPr>
          <w:b/>
          <w:color w:val="000000"/>
          <w:sz w:val="22"/>
          <w:szCs w:val="22"/>
        </w:rPr>
      </w:pPr>
      <w:r w:rsidRPr="004E264D">
        <w:rPr>
          <w:b/>
          <w:color w:val="000000"/>
          <w:sz w:val="22"/>
          <w:szCs w:val="22"/>
          <w:lang w:val="sr-Cyrl-CS"/>
        </w:rPr>
        <w:br/>
      </w:r>
      <w:r w:rsidRPr="004E264D">
        <w:rPr>
          <w:b/>
          <w:color w:val="000000"/>
          <w:sz w:val="22"/>
          <w:szCs w:val="22"/>
        </w:rPr>
        <w:t>Стечајни управник</w:t>
      </w:r>
      <w:r w:rsidRPr="004E264D">
        <w:rPr>
          <w:b/>
          <w:color w:val="000000"/>
          <w:sz w:val="22"/>
          <w:szCs w:val="22"/>
          <w:lang w:val="sr-Cyrl-CS"/>
        </w:rPr>
        <w:t xml:space="preserve"> или лице које он овласти,</w:t>
      </w:r>
      <w:r w:rsidRPr="004E264D">
        <w:rPr>
          <w:b/>
          <w:color w:val="000000"/>
          <w:sz w:val="22"/>
          <w:szCs w:val="22"/>
        </w:rPr>
        <w:t xml:space="preserve"> спроводи јавно надметање тако што: региструје лица која имају право учешћа на јавном надметању (имају  овлашћење или су лично присутни);</w:t>
      </w:r>
      <w:r w:rsidR="00FD4BC5">
        <w:rPr>
          <w:b/>
          <w:color w:val="000000"/>
          <w:sz w:val="22"/>
          <w:szCs w:val="22"/>
        </w:rPr>
        <w:t xml:space="preserve"> </w:t>
      </w:r>
      <w:r w:rsidRPr="004E264D">
        <w:rPr>
          <w:b/>
          <w:color w:val="000000"/>
          <w:sz w:val="22"/>
          <w:szCs w:val="22"/>
        </w:rPr>
        <w:t>отвара јавно надметање читајући правила надметања;</w:t>
      </w:r>
      <w:r w:rsidR="00FD4BC5">
        <w:rPr>
          <w:b/>
          <w:color w:val="000000"/>
          <w:sz w:val="22"/>
          <w:szCs w:val="22"/>
        </w:rPr>
        <w:t xml:space="preserve"> </w:t>
      </w:r>
      <w:r w:rsidRPr="004E264D">
        <w:rPr>
          <w:b/>
          <w:color w:val="000000"/>
          <w:sz w:val="22"/>
          <w:szCs w:val="22"/>
        </w:rPr>
        <w:t>позива учеснике да истакну понуду на оглашену цену, коју су спремни  да  плате;</w:t>
      </w:r>
      <w:r w:rsidR="00FD4BC5">
        <w:rPr>
          <w:b/>
          <w:color w:val="000000"/>
          <w:sz w:val="22"/>
          <w:szCs w:val="22"/>
        </w:rPr>
        <w:t xml:space="preserve"> </w:t>
      </w:r>
      <w:r w:rsidRPr="004E264D">
        <w:rPr>
          <w:b/>
          <w:color w:val="000000"/>
          <w:sz w:val="22"/>
          <w:szCs w:val="22"/>
        </w:rPr>
        <w:t>одржава ред на јавном надметању; проглашава купца када ни</w:t>
      </w:r>
      <w:r w:rsidR="00466D94" w:rsidRPr="004E264D">
        <w:rPr>
          <w:b/>
          <w:color w:val="000000"/>
          <w:sz w:val="22"/>
          <w:szCs w:val="22"/>
        </w:rPr>
        <w:t xml:space="preserve">ко од других учеснике </w:t>
      </w:r>
      <w:r w:rsidRPr="004E264D">
        <w:rPr>
          <w:b/>
          <w:color w:val="000000"/>
          <w:sz w:val="22"/>
          <w:szCs w:val="22"/>
        </w:rPr>
        <w:t xml:space="preserve"> не истакне већу цену  од  последње понуђене цене и потписује записник.</w:t>
      </w:r>
    </w:p>
    <w:p w:rsidR="003258B5" w:rsidRPr="004E264D" w:rsidRDefault="003258B5" w:rsidP="003258B5">
      <w:pPr>
        <w:widowControl w:val="0"/>
        <w:autoSpaceDE w:val="0"/>
        <w:autoSpaceDN w:val="0"/>
        <w:adjustRightInd w:val="0"/>
        <w:spacing w:line="255" w:lineRule="atLeast"/>
        <w:jc w:val="both"/>
        <w:rPr>
          <w:b/>
          <w:color w:val="000000"/>
          <w:sz w:val="22"/>
          <w:szCs w:val="22"/>
          <w:lang w:val="sr-Cyrl-CS"/>
        </w:rPr>
      </w:pPr>
      <w:r w:rsidRPr="004E264D">
        <w:rPr>
          <w:b/>
          <w:color w:val="000000"/>
          <w:sz w:val="22"/>
          <w:szCs w:val="22"/>
          <w:lang w:val="sr-Cyrl-CS"/>
        </w:rPr>
        <w:br/>
        <w:t xml:space="preserve">Купопродајни уговор се потписује у року од </w:t>
      </w:r>
      <w:r w:rsidR="004577F7" w:rsidRPr="004E264D">
        <w:rPr>
          <w:b/>
          <w:color w:val="000000"/>
          <w:sz w:val="22"/>
          <w:szCs w:val="22"/>
          <w:lang w:val="sr-Cyrl-CS"/>
        </w:rPr>
        <w:t>5</w:t>
      </w:r>
      <w:r w:rsidR="003F6D86" w:rsidRPr="004E264D">
        <w:rPr>
          <w:b/>
          <w:color w:val="000000"/>
          <w:sz w:val="22"/>
          <w:szCs w:val="22"/>
          <w:lang w:val="sr-Cyrl-CS"/>
        </w:rPr>
        <w:t xml:space="preserve"> радних</w:t>
      </w:r>
      <w:r w:rsidRPr="004E264D">
        <w:rPr>
          <w:b/>
          <w:color w:val="000000"/>
          <w:sz w:val="22"/>
          <w:szCs w:val="22"/>
          <w:lang w:val="sr-Cyrl-CS"/>
        </w:rPr>
        <w:t xml:space="preserve"> дана од дана одржавања јавног надметања.</w:t>
      </w:r>
    </w:p>
    <w:p w:rsidR="003258B5" w:rsidRPr="004E264D" w:rsidRDefault="003258B5" w:rsidP="003258B5">
      <w:pPr>
        <w:widowControl w:val="0"/>
        <w:autoSpaceDE w:val="0"/>
        <w:autoSpaceDN w:val="0"/>
        <w:adjustRightInd w:val="0"/>
        <w:spacing w:line="255" w:lineRule="atLeast"/>
        <w:jc w:val="both"/>
        <w:rPr>
          <w:b/>
          <w:color w:val="000000"/>
          <w:sz w:val="22"/>
          <w:szCs w:val="22"/>
          <w:lang w:val="sr-Cyrl-CS"/>
        </w:rPr>
      </w:pPr>
    </w:p>
    <w:p w:rsidR="003258B5" w:rsidRPr="004E264D" w:rsidRDefault="003258B5" w:rsidP="003258B5">
      <w:pPr>
        <w:widowControl w:val="0"/>
        <w:autoSpaceDE w:val="0"/>
        <w:autoSpaceDN w:val="0"/>
        <w:adjustRightInd w:val="0"/>
        <w:spacing w:line="255" w:lineRule="atLeast"/>
        <w:jc w:val="both"/>
        <w:rPr>
          <w:b/>
          <w:color w:val="000000"/>
          <w:sz w:val="22"/>
          <w:szCs w:val="22"/>
          <w:lang w:val="sr-Cyrl-CS"/>
        </w:rPr>
      </w:pPr>
      <w:r w:rsidRPr="004E264D">
        <w:rPr>
          <w:b/>
          <w:color w:val="000000"/>
          <w:sz w:val="22"/>
          <w:szCs w:val="22"/>
          <w:lang w:val="sr-Cyrl-CS"/>
        </w:rPr>
        <w:t xml:space="preserve">Проглашени Купац је дужан да уплати преостали износ купопродајне цене у року од 10 дана од дана потписивања купопродајног уговора. Тек након уплате купопродајне цене и добијања потврде од стране стечајног </w:t>
      </w:r>
      <w:r w:rsidR="00AC05B0" w:rsidRPr="004E264D">
        <w:rPr>
          <w:b/>
          <w:color w:val="000000"/>
          <w:sz w:val="22"/>
          <w:szCs w:val="22"/>
          <w:lang w:val="sr-Cyrl-CS"/>
        </w:rPr>
        <w:t>управника</w:t>
      </w:r>
      <w:r w:rsidRPr="004E264D">
        <w:rPr>
          <w:b/>
          <w:color w:val="000000"/>
          <w:sz w:val="22"/>
          <w:szCs w:val="22"/>
          <w:lang w:val="sr-Cyrl-CS"/>
        </w:rPr>
        <w:t xml:space="preserve"> о извршеној уплати у целости,</w:t>
      </w:r>
      <w:r w:rsidR="00FD4BC5">
        <w:rPr>
          <w:b/>
          <w:color w:val="000000"/>
          <w:sz w:val="22"/>
          <w:szCs w:val="22"/>
          <w:lang w:val="sr-Cyrl-CS"/>
        </w:rPr>
        <w:t xml:space="preserve"> </w:t>
      </w:r>
      <w:r w:rsidR="0030692B" w:rsidRPr="004E264D">
        <w:rPr>
          <w:b/>
          <w:color w:val="000000"/>
          <w:sz w:val="22"/>
          <w:szCs w:val="22"/>
          <w:lang w:val="sr-Cyrl-CS"/>
        </w:rPr>
        <w:t>потисује се Записник о примопредаји предмета купопродаје,</w:t>
      </w:r>
      <w:r w:rsidR="003F6D86" w:rsidRPr="004E264D">
        <w:rPr>
          <w:b/>
          <w:color w:val="000000"/>
          <w:sz w:val="22"/>
          <w:szCs w:val="22"/>
          <w:lang w:val="sr-Cyrl-CS"/>
        </w:rPr>
        <w:t xml:space="preserve"> и </w:t>
      </w:r>
      <w:r w:rsidR="00AC05B0" w:rsidRPr="004E264D">
        <w:rPr>
          <w:b/>
          <w:color w:val="000000"/>
          <w:sz w:val="22"/>
          <w:szCs w:val="22"/>
          <w:lang w:val="sr-Cyrl-CS"/>
        </w:rPr>
        <w:t xml:space="preserve">купац </w:t>
      </w:r>
      <w:r w:rsidRPr="004E264D">
        <w:rPr>
          <w:b/>
          <w:color w:val="000000"/>
          <w:sz w:val="22"/>
          <w:szCs w:val="22"/>
          <w:lang w:val="sr-Cyrl-CS"/>
        </w:rPr>
        <w:t xml:space="preserve"> стиче право</w:t>
      </w:r>
      <w:r w:rsidR="00AC05B0" w:rsidRPr="004E264D">
        <w:rPr>
          <w:b/>
          <w:color w:val="000000"/>
          <w:sz w:val="22"/>
          <w:szCs w:val="22"/>
          <w:lang w:val="sr-Cyrl-CS"/>
        </w:rPr>
        <w:t xml:space="preserve"> спровођења  промена у </w:t>
      </w:r>
      <w:r w:rsidR="0030692B" w:rsidRPr="004E264D">
        <w:rPr>
          <w:b/>
          <w:color w:val="000000"/>
          <w:sz w:val="22"/>
          <w:szCs w:val="22"/>
          <w:lang w:val="sr-Cyrl-CS"/>
        </w:rPr>
        <w:t xml:space="preserve"> одговарајућим </w:t>
      </w:r>
      <w:r w:rsidR="00AC05B0" w:rsidRPr="004E264D">
        <w:rPr>
          <w:b/>
          <w:color w:val="000000"/>
          <w:sz w:val="22"/>
          <w:szCs w:val="22"/>
          <w:lang w:val="sr-Cyrl-CS"/>
        </w:rPr>
        <w:t>регистр</w:t>
      </w:r>
      <w:r w:rsidR="003F6D86" w:rsidRPr="004E264D">
        <w:rPr>
          <w:b/>
          <w:color w:val="000000"/>
          <w:sz w:val="22"/>
          <w:szCs w:val="22"/>
          <w:lang w:val="sr-Cyrl-CS"/>
        </w:rPr>
        <w:t>има.</w:t>
      </w:r>
    </w:p>
    <w:p w:rsidR="003258B5" w:rsidRPr="004E264D" w:rsidRDefault="003258B5" w:rsidP="003258B5">
      <w:pPr>
        <w:widowControl w:val="0"/>
        <w:autoSpaceDE w:val="0"/>
        <w:autoSpaceDN w:val="0"/>
        <w:adjustRightInd w:val="0"/>
        <w:spacing w:line="255" w:lineRule="atLeast"/>
        <w:jc w:val="both"/>
        <w:rPr>
          <w:b/>
          <w:color w:val="000000"/>
          <w:sz w:val="22"/>
          <w:szCs w:val="22"/>
          <w:lang w:val="sr-Cyrl-CS"/>
        </w:rPr>
      </w:pPr>
      <w:r w:rsidRPr="004E264D">
        <w:rPr>
          <w:b/>
          <w:color w:val="000000"/>
          <w:sz w:val="22"/>
          <w:szCs w:val="22"/>
          <w:lang w:val="sr-Cyrl-CS"/>
        </w:rPr>
        <w:t xml:space="preserve">Свако лице које је стекло право на учешће </w:t>
      </w:r>
      <w:r w:rsidR="00AC05B0" w:rsidRPr="004E264D">
        <w:rPr>
          <w:b/>
          <w:color w:val="000000"/>
          <w:sz w:val="22"/>
          <w:szCs w:val="22"/>
          <w:lang w:val="sr-Cyrl-CS"/>
        </w:rPr>
        <w:t xml:space="preserve">јавном надметању, </w:t>
      </w:r>
      <w:r w:rsidRPr="004E264D">
        <w:rPr>
          <w:b/>
          <w:color w:val="000000"/>
          <w:sz w:val="22"/>
          <w:szCs w:val="22"/>
          <w:lang w:val="sr-Cyrl-CS"/>
        </w:rPr>
        <w:t>у складу са условима прописаним овим огласом, губи право на депозит</w:t>
      </w:r>
      <w:r w:rsidR="00AC05B0" w:rsidRPr="004E264D">
        <w:rPr>
          <w:b/>
          <w:color w:val="000000"/>
          <w:sz w:val="22"/>
          <w:szCs w:val="22"/>
          <w:lang w:val="sr-Cyrl-CS"/>
        </w:rPr>
        <w:t xml:space="preserve">, </w:t>
      </w:r>
      <w:r w:rsidRPr="004E264D">
        <w:rPr>
          <w:b/>
          <w:color w:val="000000"/>
          <w:sz w:val="22"/>
          <w:szCs w:val="22"/>
          <w:lang w:val="sr-Cyrl-CS"/>
        </w:rPr>
        <w:t xml:space="preserve"> у складу са Изјавом о губитку права на враћање депозита.</w:t>
      </w:r>
    </w:p>
    <w:p w:rsidR="003258B5" w:rsidRPr="004E264D" w:rsidRDefault="003258B5" w:rsidP="003258B5">
      <w:pPr>
        <w:widowControl w:val="0"/>
        <w:autoSpaceDE w:val="0"/>
        <w:autoSpaceDN w:val="0"/>
        <w:adjustRightInd w:val="0"/>
        <w:spacing w:line="255" w:lineRule="atLeast"/>
        <w:jc w:val="both"/>
        <w:rPr>
          <w:b/>
          <w:color w:val="000000"/>
          <w:sz w:val="22"/>
          <w:szCs w:val="22"/>
          <w:lang w:val="sr-Cyrl-CS"/>
        </w:rPr>
      </w:pPr>
      <w:r w:rsidRPr="004E264D">
        <w:rPr>
          <w:b/>
          <w:color w:val="000000"/>
          <w:sz w:val="22"/>
          <w:szCs w:val="22"/>
          <w:lang w:val="sr-Cyrl-CS"/>
        </w:rPr>
        <w:br/>
      </w:r>
      <w:r w:rsidRPr="004E264D">
        <w:rPr>
          <w:b/>
          <w:color w:val="000000"/>
          <w:sz w:val="22"/>
          <w:szCs w:val="22"/>
        </w:rPr>
        <w:t>Ако проглашени Купац не потпише записник, купопродајни уговор или не уплати купопродајну цену у прописаним роковима и на прописан начин, као и у свим другим случајевима предвиђеним Изјавом о губитку права на враћање депозита</w:t>
      </w:r>
      <w:r w:rsidRPr="004E264D">
        <w:rPr>
          <w:b/>
          <w:color w:val="000000"/>
          <w:sz w:val="22"/>
          <w:szCs w:val="22"/>
          <w:lang w:val="sr-Cyrl-CS"/>
        </w:rPr>
        <w:t>,</w:t>
      </w:r>
      <w:r w:rsidRPr="004E264D">
        <w:rPr>
          <w:b/>
          <w:color w:val="000000"/>
          <w:sz w:val="22"/>
          <w:szCs w:val="22"/>
        </w:rPr>
        <w:t xml:space="preserve"> губи право </w:t>
      </w:r>
      <w:r w:rsidR="00FD4BC5">
        <w:rPr>
          <w:b/>
          <w:color w:val="000000"/>
          <w:sz w:val="22"/>
          <w:szCs w:val="22"/>
        </w:rPr>
        <w:t>на повраћај депозита, а за Купцем</w:t>
      </w:r>
      <w:r w:rsidRPr="004E264D">
        <w:rPr>
          <w:b/>
          <w:color w:val="000000"/>
          <w:sz w:val="22"/>
          <w:szCs w:val="22"/>
        </w:rPr>
        <w:t xml:space="preserve"> се проглашава други најбољи понуђач.</w:t>
      </w:r>
    </w:p>
    <w:p w:rsidR="003258B5" w:rsidRPr="004E264D" w:rsidRDefault="003258B5" w:rsidP="003258B5">
      <w:pPr>
        <w:widowControl w:val="0"/>
        <w:autoSpaceDE w:val="0"/>
        <w:autoSpaceDN w:val="0"/>
        <w:adjustRightInd w:val="0"/>
        <w:spacing w:line="255" w:lineRule="atLeast"/>
        <w:jc w:val="both"/>
        <w:rPr>
          <w:b/>
          <w:color w:val="000000"/>
          <w:sz w:val="22"/>
          <w:szCs w:val="22"/>
          <w:lang w:val="sr-Cyrl-CS"/>
        </w:rPr>
      </w:pPr>
      <w:r w:rsidRPr="004E264D">
        <w:rPr>
          <w:b/>
          <w:color w:val="000000"/>
          <w:sz w:val="22"/>
          <w:szCs w:val="22"/>
          <w:lang w:val="sr-Cyrl-CS"/>
        </w:rPr>
        <w:br/>
        <w:t xml:space="preserve">Учесницима који на јавном надметању нису стекли статус купца или другог најбољег понуђача, депозит се враћа у року од </w:t>
      </w:r>
      <w:r w:rsidR="0030692B" w:rsidRPr="004E264D">
        <w:rPr>
          <w:b/>
          <w:color w:val="000000"/>
          <w:sz w:val="22"/>
          <w:szCs w:val="22"/>
          <w:lang w:val="sr-Cyrl-CS"/>
        </w:rPr>
        <w:t>8</w:t>
      </w:r>
      <w:r w:rsidRPr="004E264D">
        <w:rPr>
          <w:b/>
          <w:color w:val="000000"/>
          <w:sz w:val="22"/>
          <w:szCs w:val="22"/>
          <w:lang w:val="sr-Cyrl-CS"/>
        </w:rPr>
        <w:t xml:space="preserve"> дана од дана јавног надметања.</w:t>
      </w:r>
      <w:r w:rsidR="00FD4BC5">
        <w:rPr>
          <w:b/>
          <w:color w:val="000000"/>
          <w:sz w:val="22"/>
          <w:szCs w:val="22"/>
          <w:lang w:val="sr-Cyrl-CS"/>
        </w:rPr>
        <w:t xml:space="preserve"> </w:t>
      </w:r>
      <w:r w:rsidRPr="004E264D">
        <w:rPr>
          <w:b/>
          <w:color w:val="000000"/>
          <w:sz w:val="22"/>
          <w:szCs w:val="22"/>
          <w:lang w:val="sr-Cyrl-CS"/>
        </w:rPr>
        <w:t xml:space="preserve">Другом најбољем понуђачу на јавном надметању, депозит се враћа у року од </w:t>
      </w:r>
      <w:r w:rsidR="004577F7" w:rsidRPr="004E264D">
        <w:rPr>
          <w:b/>
          <w:color w:val="000000"/>
          <w:sz w:val="22"/>
          <w:szCs w:val="22"/>
          <w:lang w:val="sr-Cyrl-CS"/>
        </w:rPr>
        <w:t>15</w:t>
      </w:r>
      <w:r w:rsidRPr="004E264D">
        <w:rPr>
          <w:b/>
          <w:color w:val="000000"/>
          <w:sz w:val="22"/>
          <w:szCs w:val="22"/>
          <w:lang w:val="sr-Cyrl-CS"/>
        </w:rPr>
        <w:t xml:space="preserve"> дана од дана јавног надметања.</w:t>
      </w:r>
    </w:p>
    <w:p w:rsidR="00AC05B0" w:rsidRPr="004E264D" w:rsidRDefault="003258B5" w:rsidP="003258B5">
      <w:pPr>
        <w:widowControl w:val="0"/>
        <w:autoSpaceDE w:val="0"/>
        <w:autoSpaceDN w:val="0"/>
        <w:adjustRightInd w:val="0"/>
        <w:spacing w:line="255" w:lineRule="atLeast"/>
        <w:jc w:val="both"/>
        <w:rPr>
          <w:b/>
          <w:color w:val="000000"/>
          <w:sz w:val="22"/>
          <w:szCs w:val="22"/>
        </w:rPr>
      </w:pPr>
      <w:r w:rsidRPr="004E264D">
        <w:rPr>
          <w:b/>
          <w:color w:val="000000"/>
          <w:sz w:val="22"/>
          <w:szCs w:val="22"/>
          <w:lang w:val="sr-Cyrl-CS"/>
        </w:rPr>
        <w:br/>
        <w:t>Порези и трошкови се додају на постигнуту купопродајну цен</w:t>
      </w:r>
      <w:r w:rsidR="0030692B" w:rsidRPr="004E264D">
        <w:rPr>
          <w:b/>
          <w:color w:val="000000"/>
          <w:sz w:val="22"/>
          <w:szCs w:val="22"/>
          <w:lang w:val="sr-Cyrl-CS"/>
        </w:rPr>
        <w:t>у, и исти падају на терет  купца.</w:t>
      </w:r>
    </w:p>
    <w:p w:rsidR="003258B5" w:rsidRPr="004E264D" w:rsidRDefault="003258B5" w:rsidP="003258B5">
      <w:pPr>
        <w:widowControl w:val="0"/>
        <w:autoSpaceDE w:val="0"/>
        <w:autoSpaceDN w:val="0"/>
        <w:adjustRightInd w:val="0"/>
        <w:spacing w:line="255" w:lineRule="atLeast"/>
        <w:jc w:val="both"/>
        <w:rPr>
          <w:b/>
          <w:color w:val="000000"/>
          <w:sz w:val="22"/>
          <w:szCs w:val="22"/>
          <w:lang w:val="sr-Cyrl-CS"/>
        </w:rPr>
      </w:pPr>
      <w:r w:rsidRPr="004E264D">
        <w:rPr>
          <w:b/>
          <w:color w:val="000000"/>
          <w:sz w:val="22"/>
          <w:szCs w:val="22"/>
          <w:lang w:val="sr-Cyrl-CS"/>
        </w:rPr>
        <w:br/>
      </w:r>
      <w:r w:rsidRPr="004E264D">
        <w:rPr>
          <w:b/>
          <w:color w:val="000000"/>
          <w:sz w:val="22"/>
          <w:szCs w:val="22"/>
        </w:rPr>
        <w:t xml:space="preserve">Oвлашћено лице: </w:t>
      </w:r>
      <w:r w:rsidR="003F6D86" w:rsidRPr="004E264D">
        <w:rPr>
          <w:b/>
          <w:color w:val="000000"/>
          <w:sz w:val="22"/>
          <w:szCs w:val="22"/>
          <w:lang w:val="sr-Cyrl-CS"/>
        </w:rPr>
        <w:t>С</w:t>
      </w:r>
      <w:r w:rsidRPr="004E264D">
        <w:rPr>
          <w:b/>
          <w:color w:val="000000"/>
          <w:sz w:val="22"/>
          <w:szCs w:val="22"/>
          <w:lang w:val="sr-Cyrl-CS"/>
        </w:rPr>
        <w:t>течајни управник,</w:t>
      </w:r>
      <w:r w:rsidR="00FD4BC5">
        <w:rPr>
          <w:b/>
          <w:color w:val="000000"/>
          <w:sz w:val="22"/>
          <w:szCs w:val="22"/>
          <w:lang w:val="sr-Cyrl-CS"/>
        </w:rPr>
        <w:t xml:space="preserve"> </w:t>
      </w:r>
      <w:r w:rsidR="004577F7" w:rsidRPr="004E264D">
        <w:rPr>
          <w:b/>
          <w:color w:val="000000"/>
          <w:sz w:val="22"/>
          <w:szCs w:val="22"/>
        </w:rPr>
        <w:t>Мила Сташевић</w:t>
      </w:r>
      <w:r w:rsidRPr="004E264D">
        <w:rPr>
          <w:b/>
          <w:color w:val="000000"/>
          <w:sz w:val="22"/>
          <w:szCs w:val="22"/>
        </w:rPr>
        <w:t xml:space="preserve"> - контакт телефон: </w:t>
      </w:r>
      <w:r w:rsidRPr="004E264D">
        <w:rPr>
          <w:b/>
          <w:color w:val="000000"/>
          <w:sz w:val="22"/>
          <w:szCs w:val="22"/>
          <w:lang w:val="sr-Cyrl-CS"/>
        </w:rPr>
        <w:t>063</w:t>
      </w:r>
      <w:r w:rsidR="00FE0C4D" w:rsidRPr="004E264D">
        <w:rPr>
          <w:b/>
          <w:color w:val="000000"/>
          <w:sz w:val="22"/>
          <w:szCs w:val="22"/>
          <w:lang w:val="sr-Cyrl-CS"/>
        </w:rPr>
        <w:t>/173 8446</w:t>
      </w:r>
    </w:p>
    <w:p w:rsidR="0030692B" w:rsidRPr="004E264D" w:rsidRDefault="003F6D86" w:rsidP="003258B5">
      <w:pPr>
        <w:widowControl w:val="0"/>
        <w:autoSpaceDE w:val="0"/>
        <w:autoSpaceDN w:val="0"/>
        <w:adjustRightInd w:val="0"/>
        <w:spacing w:line="255" w:lineRule="atLeast"/>
        <w:jc w:val="both"/>
        <w:rPr>
          <w:b/>
          <w:color w:val="000000"/>
          <w:sz w:val="22"/>
          <w:szCs w:val="22"/>
          <w:lang w:val="sr-Cyrl-CS"/>
        </w:rPr>
      </w:pPr>
      <w:r w:rsidRPr="004E264D">
        <w:rPr>
          <w:b/>
          <w:color w:val="000000"/>
          <w:sz w:val="22"/>
          <w:szCs w:val="22"/>
          <w:lang w:val="sr-Cyrl-CS"/>
        </w:rPr>
        <w:t xml:space="preserve">                              и</w:t>
      </w:r>
      <w:r w:rsidR="0030692B" w:rsidRPr="004E264D">
        <w:rPr>
          <w:b/>
          <w:color w:val="000000"/>
          <w:sz w:val="22"/>
          <w:szCs w:val="22"/>
          <w:lang w:val="sr-Cyrl-CS"/>
        </w:rPr>
        <w:t xml:space="preserve"> сарадик стечајног управника, контакт телефон</w:t>
      </w:r>
      <w:r w:rsidRPr="004E264D">
        <w:rPr>
          <w:b/>
          <w:color w:val="000000"/>
          <w:sz w:val="22"/>
          <w:szCs w:val="22"/>
          <w:lang w:val="sr-Cyrl-CS"/>
        </w:rPr>
        <w:t>:</w:t>
      </w:r>
      <w:r w:rsidR="0030692B" w:rsidRPr="004E264D">
        <w:rPr>
          <w:b/>
          <w:color w:val="000000"/>
          <w:sz w:val="22"/>
          <w:szCs w:val="22"/>
          <w:lang w:val="sr-Cyrl-CS"/>
        </w:rPr>
        <w:t xml:space="preserve">   065/60 44 558</w:t>
      </w:r>
    </w:p>
    <w:p w:rsidR="003258B5" w:rsidRPr="004E264D" w:rsidRDefault="003258B5" w:rsidP="003258B5">
      <w:pPr>
        <w:rPr>
          <w:b/>
        </w:rPr>
      </w:pPr>
    </w:p>
    <w:p w:rsidR="003258B5" w:rsidRPr="004E264D" w:rsidRDefault="003258B5" w:rsidP="003258B5">
      <w:pPr>
        <w:widowControl w:val="0"/>
        <w:autoSpaceDE w:val="0"/>
        <w:autoSpaceDN w:val="0"/>
        <w:adjustRightInd w:val="0"/>
        <w:spacing w:line="255" w:lineRule="atLeast"/>
        <w:jc w:val="center"/>
        <w:rPr>
          <w:b/>
          <w:color w:val="000000"/>
          <w:sz w:val="22"/>
          <w:szCs w:val="22"/>
        </w:rPr>
      </w:pPr>
    </w:p>
    <w:p w:rsidR="00244A94" w:rsidRPr="004E264D" w:rsidRDefault="00072530">
      <w:pPr>
        <w:rPr>
          <w:b/>
        </w:rPr>
      </w:pPr>
    </w:p>
    <w:sectPr w:rsidR="00244A94" w:rsidRPr="004E264D" w:rsidSect="007A7317">
      <w:pgSz w:w="11906" w:h="16838"/>
      <w:pgMar w:top="993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F836A8"/>
    <w:multiLevelType w:val="hybridMultilevel"/>
    <w:tmpl w:val="59E63546"/>
    <w:lvl w:ilvl="0" w:tplc="EF5C300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623EB2"/>
    <w:multiLevelType w:val="hybridMultilevel"/>
    <w:tmpl w:val="01CA020A"/>
    <w:lvl w:ilvl="0" w:tplc="F3140506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8B5"/>
    <w:rsid w:val="00072530"/>
    <w:rsid w:val="000B6314"/>
    <w:rsid w:val="00193AA5"/>
    <w:rsid w:val="001C30B4"/>
    <w:rsid w:val="00201A83"/>
    <w:rsid w:val="002233D0"/>
    <w:rsid w:val="00270F62"/>
    <w:rsid w:val="0030692B"/>
    <w:rsid w:val="003258B5"/>
    <w:rsid w:val="0039004A"/>
    <w:rsid w:val="003F6D86"/>
    <w:rsid w:val="00416811"/>
    <w:rsid w:val="004577F7"/>
    <w:rsid w:val="004618A1"/>
    <w:rsid w:val="00466D94"/>
    <w:rsid w:val="004A2B6B"/>
    <w:rsid w:val="004E264D"/>
    <w:rsid w:val="005974FE"/>
    <w:rsid w:val="0068743F"/>
    <w:rsid w:val="006B4D52"/>
    <w:rsid w:val="00706800"/>
    <w:rsid w:val="00795A67"/>
    <w:rsid w:val="007A2394"/>
    <w:rsid w:val="00802BBA"/>
    <w:rsid w:val="00816D67"/>
    <w:rsid w:val="00856E28"/>
    <w:rsid w:val="008B6A89"/>
    <w:rsid w:val="008F186C"/>
    <w:rsid w:val="00973382"/>
    <w:rsid w:val="00995B6A"/>
    <w:rsid w:val="00A00ABE"/>
    <w:rsid w:val="00A74A66"/>
    <w:rsid w:val="00AC05B0"/>
    <w:rsid w:val="00AC5502"/>
    <w:rsid w:val="00AC6B09"/>
    <w:rsid w:val="00AD40B7"/>
    <w:rsid w:val="00AF101E"/>
    <w:rsid w:val="00B223CC"/>
    <w:rsid w:val="00B62551"/>
    <w:rsid w:val="00B9301A"/>
    <w:rsid w:val="00BB2784"/>
    <w:rsid w:val="00C51D6B"/>
    <w:rsid w:val="00C741E5"/>
    <w:rsid w:val="00CA4297"/>
    <w:rsid w:val="00CB7624"/>
    <w:rsid w:val="00D71830"/>
    <w:rsid w:val="00E06889"/>
    <w:rsid w:val="00EE6849"/>
    <w:rsid w:val="00F3603C"/>
    <w:rsid w:val="00FC259B"/>
    <w:rsid w:val="00FD4BC5"/>
    <w:rsid w:val="00FE0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51C686-0BFD-4A0D-A7ED-7E44A7427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1029</Words>
  <Characters>5869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Nada</dc:creator>
  <cp:lastModifiedBy>Igor ID. Draskic</cp:lastModifiedBy>
  <cp:revision>2</cp:revision>
  <cp:lastPrinted>2018-02-02T11:36:00Z</cp:lastPrinted>
  <dcterms:created xsi:type="dcterms:W3CDTF">2018-06-08T10:04:00Z</dcterms:created>
  <dcterms:modified xsi:type="dcterms:W3CDTF">2018-06-08T10:04:00Z</dcterms:modified>
</cp:coreProperties>
</file>